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B9" w:rsidRDefault="001C2783" w:rsidP="00CD0311">
      <w:pPr>
        <w:spacing w:after="0" w:line="240" w:lineRule="auto"/>
      </w:pPr>
      <w:bookmarkStart w:id="0" w:name="_GoBack"/>
      <w:bookmarkEnd w:id="0"/>
      <w:r>
        <w:rPr>
          <w:noProof/>
        </w:rPr>
        <w:drawing>
          <wp:anchor distT="0" distB="0" distL="114300" distR="114300" simplePos="0" relativeHeight="251734528" behindDoc="0" locked="0" layoutInCell="1" allowOverlap="1">
            <wp:simplePos x="0" y="0"/>
            <wp:positionH relativeFrom="margin">
              <wp:posOffset>163195</wp:posOffset>
            </wp:positionH>
            <wp:positionV relativeFrom="margin">
              <wp:posOffset>136525</wp:posOffset>
            </wp:positionV>
            <wp:extent cx="548640" cy="516094"/>
            <wp:effectExtent l="0" t="0" r="3810" b="0"/>
            <wp:wrapSquare wrapText="bothSides"/>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Untitled-1-01.png"/>
                    <pic:cNvPicPr/>
                  </pic:nvPicPr>
                  <pic:blipFill>
                    <a:blip r:embed="rId7">
                      <a:extLst>
                        <a:ext uri="{28A0092B-C50C-407E-A947-70E740481C1C}">
                          <a14:useLocalDpi xmlns:a14="http://schemas.microsoft.com/office/drawing/2010/main" val="0"/>
                        </a:ext>
                      </a:extLst>
                    </a:blip>
                    <a:stretch>
                      <a:fillRect/>
                    </a:stretch>
                  </pic:blipFill>
                  <pic:spPr>
                    <a:xfrm>
                      <a:off x="0" y="0"/>
                      <a:ext cx="548640" cy="516094"/>
                    </a:xfrm>
                    <a:prstGeom prst="rect">
                      <a:avLst/>
                    </a:prstGeom>
                  </pic:spPr>
                </pic:pic>
              </a:graphicData>
            </a:graphic>
          </wp:anchor>
        </w:drawing>
      </w:r>
      <w:r w:rsidR="00684A16">
        <w:rPr>
          <w:noProof/>
          <w:sz w:val="0"/>
          <w:szCs w:val="0"/>
        </w:rPr>
        <mc:AlternateContent>
          <mc:Choice Requires="wps">
            <w:drawing>
              <wp:anchor distT="0" distB="0" distL="114300" distR="114300" simplePos="0" relativeHeight="251733504" behindDoc="1" locked="0" layoutInCell="1" allowOverlap="1">
                <wp:simplePos x="0" y="0"/>
                <wp:positionH relativeFrom="margin">
                  <wp:posOffset>19050</wp:posOffset>
                </wp:positionH>
                <wp:positionV relativeFrom="page">
                  <wp:posOffset>835025</wp:posOffset>
                </wp:positionV>
                <wp:extent cx="7372350" cy="805815"/>
                <wp:effectExtent l="19050" t="19050" r="19050" b="13335"/>
                <wp:wrapThrough wrapText="bothSides">
                  <wp:wrapPolygon edited="0">
                    <wp:start x="-56" y="-511"/>
                    <wp:lineTo x="-56" y="21447"/>
                    <wp:lineTo x="21600" y="21447"/>
                    <wp:lineTo x="21600" y="-511"/>
                    <wp:lineTo x="-56" y="-511"/>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05815"/>
                        </a:xfrm>
                        <a:prstGeom prst="rect">
                          <a:avLst/>
                        </a:prstGeom>
                        <a:solidFill>
                          <a:srgbClr val="00A4DE"/>
                        </a:solidFill>
                        <a:ln w="28575">
                          <a:solidFill>
                            <a:schemeClr val="tx2">
                              <a:lumMod val="75000"/>
                            </a:schemeClr>
                          </a:solidFill>
                          <a:miter lim="800000"/>
                          <a:headEnd/>
                          <a:tailEnd/>
                        </a:ln>
                      </wps:spPr>
                      <wps:txbx>
                        <w:txbxContent>
                          <w:p w:rsidR="00CD0311" w:rsidRPr="000170C2" w:rsidRDefault="00CD0311" w:rsidP="00CD0311">
                            <w:pPr>
                              <w:spacing w:before="62" w:after="0" w:line="249" w:lineRule="auto"/>
                              <w:ind w:left="1440" w:right="603"/>
                              <w:jc w:val="both"/>
                              <w:rPr>
                                <w:rFonts w:ascii="Garamond" w:eastAsia="Garamond" w:hAnsi="Garamond" w:cs="Garamond"/>
                                <w:sz w:val="24"/>
                                <w:szCs w:val="24"/>
                                <w:lang w:val="es-US"/>
                              </w:rPr>
                            </w:pPr>
                            <w:r>
                              <w:rPr>
                                <w:rFonts w:ascii="Garamond" w:eastAsia="Garamond" w:hAnsi="Garamond" w:cs="Garamond"/>
                                <w:b/>
                                <w:bCs/>
                                <w:color w:val="231F20"/>
                                <w:sz w:val="36"/>
                                <w:szCs w:val="36"/>
                                <w:lang w:val="es-US"/>
                              </w:rPr>
                              <w:t>Este es sólo un resumen.</w:t>
                            </w:r>
                            <w:r>
                              <w:rPr>
                                <w:rFonts w:ascii="Garamond" w:eastAsia="Garamond" w:hAnsi="Garamond" w:cs="Garamond"/>
                                <w:color w:val="231F20"/>
                                <w:sz w:val="36"/>
                                <w:szCs w:val="36"/>
                                <w:lang w:val="es-US"/>
                              </w:rPr>
                              <w:t xml:space="preserve"> </w:t>
                            </w:r>
                            <w:r>
                              <w:rPr>
                                <w:rFonts w:ascii="Garamond" w:eastAsia="Garamond" w:hAnsi="Garamond" w:cs="Garamond"/>
                                <w:color w:val="231F20"/>
                                <w:sz w:val="24"/>
                                <w:szCs w:val="24"/>
                                <w:lang w:val="es-US"/>
                              </w:rPr>
                              <w:t xml:space="preserve">Si quiere obtener más detalles sobre la cobertura dental y los costos en este plan, puede obtener los términos completos en la póliza o en el documento del plan en </w:t>
                            </w:r>
                            <w:hyperlink r:id="rId8">
                              <w:r>
                                <w:rPr>
                                  <w:rFonts w:ascii="Garamond" w:eastAsia="Garamond" w:hAnsi="Garamond" w:cs="Garamond"/>
                                  <w:b/>
                                  <w:bCs/>
                                  <w:color w:val="231F20"/>
                                  <w:sz w:val="24"/>
                                  <w:szCs w:val="24"/>
                                  <w:lang w:val="es-US"/>
                                </w:rPr>
                                <w:t>www.[inser</w:t>
                              </w:r>
                            </w:hyperlink>
                            <w:r>
                              <w:rPr>
                                <w:rFonts w:ascii="Garamond" w:eastAsia="Garamond" w:hAnsi="Garamond" w:cs="Garamond"/>
                                <w:b/>
                                <w:bCs/>
                                <w:color w:val="231F20"/>
                                <w:sz w:val="24"/>
                                <w:szCs w:val="24"/>
                                <w:lang w:val="es-US"/>
                              </w:rPr>
                              <w:t>tar]</w:t>
                            </w:r>
                            <w:r>
                              <w:rPr>
                                <w:rFonts w:ascii="Garamond" w:eastAsia="Garamond" w:hAnsi="Garamond" w:cs="Garamond"/>
                                <w:color w:val="231F20"/>
                                <w:sz w:val="24"/>
                                <w:szCs w:val="24"/>
                                <w:lang w:val="es-US"/>
                              </w:rPr>
                              <w:t xml:space="preserve"> o llamando al </w:t>
                            </w:r>
                            <w:r>
                              <w:rPr>
                                <w:rFonts w:ascii="Garamond" w:eastAsia="Garamond" w:hAnsi="Garamond" w:cs="Garamond"/>
                                <w:b/>
                                <w:bCs/>
                                <w:color w:val="231F20"/>
                                <w:sz w:val="24"/>
                                <w:szCs w:val="24"/>
                                <w:lang w:val="es-US"/>
                              </w:rPr>
                              <w:t>1-800-[insertar]</w:t>
                            </w:r>
                            <w:r>
                              <w:rPr>
                                <w:rFonts w:ascii="Garamond" w:eastAsia="Garamond" w:hAnsi="Garamond" w:cs="Garamond"/>
                                <w:color w:val="231F20"/>
                                <w:sz w:val="24"/>
                                <w:szCs w:val="24"/>
                                <w:lang w:val="es-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5.75pt;width:580.5pt;height:63.45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" fillcolor="#00a4de" strokecolor="#17365d [2415]" strokeweight="2.25pt">
                <v:textbox>
                  <w:txbxContent>
                    <w:p w:rsidR="00CD0311" w:rsidRPr="000170C2" w:rsidRDefault="00CD0311" w:rsidP="00CD0311">
                      <w:pPr>
                        <w:spacing w:before="62" w:after="0" w:line="249" w:lineRule="auto"/>
                        <w:ind w:left="1440" w:right="603"/>
                        <w:jc w:val="both"/>
                        <w:rPr>
                          <w:rFonts w:ascii="Garamond" w:eastAsia="Garamond" w:hAnsi="Garamond" w:cs="Garamond"/>
                          <w:sz w:val="24"/>
                          <w:szCs w:val="24"/>
                          <w:lang w:val="es-US"/>
                        </w:rPr>
                      </w:pPr>
                      <w:r>
                        <w:rPr>
                          <w:rFonts w:ascii="Garamond" w:eastAsia="Garamond" w:hAnsi="Garamond" w:cs="Garamond"/>
                          <w:b/>
                          <w:bCs/>
                          <w:color w:val="231F20"/>
                          <w:sz w:val="36"/>
                          <w:szCs w:val="36"/>
                          <w:lang w:val="es-US"/>
                        </w:rPr>
                        <w:t>Este es sólo un resumen.</w:t>
                      </w:r>
                      <w:r>
                        <w:rPr>
                          <w:rFonts w:ascii="Garamond" w:eastAsia="Garamond" w:hAnsi="Garamond" w:cs="Garamond"/>
                          <w:color w:val="231F20"/>
                          <w:sz w:val="36"/>
                          <w:szCs w:val="36"/>
                          <w:lang w:val="es-US"/>
                        </w:rPr>
                        <w:t xml:space="preserve"> </w:t>
                      </w:r>
                      <w:r>
                        <w:rPr>
                          <w:rFonts w:ascii="Garamond" w:eastAsia="Garamond" w:hAnsi="Garamond" w:cs="Garamond"/>
                          <w:color w:val="231F20"/>
                          <w:sz w:val="24"/>
                          <w:szCs w:val="24"/>
                          <w:lang w:val="es-US"/>
                        </w:rPr>
                        <w:t xml:space="preserve">Si quiere obtener más detalles sobre la cobertura dental y los costos en este plan, puede obtener los términos completos en la póliza o en el documento del plan en </w:t>
                      </w:r>
                      <w:hyperlink r:id="rId9">
                        <w:r>
                          <w:rPr>
                            <w:rFonts w:ascii="Garamond" w:eastAsia="Garamond" w:hAnsi="Garamond" w:cs="Garamond"/>
                            <w:b/>
                            <w:bCs/>
                            <w:color w:val="231F20"/>
                            <w:sz w:val="24"/>
                            <w:szCs w:val="24"/>
                            <w:lang w:val="es-US"/>
                          </w:rPr>
                          <w:t>www.[inser</w:t>
                        </w:r>
                      </w:hyperlink>
                      <w:r>
                        <w:rPr>
                          <w:rFonts w:ascii="Garamond" w:eastAsia="Garamond" w:hAnsi="Garamond" w:cs="Garamond"/>
                          <w:b/>
                          <w:bCs/>
                          <w:color w:val="231F20"/>
                          <w:sz w:val="24"/>
                          <w:szCs w:val="24"/>
                          <w:lang w:val="es-US"/>
                        </w:rPr>
                        <w:t>tar]</w:t>
                      </w:r>
                      <w:r>
                        <w:rPr>
                          <w:rFonts w:ascii="Garamond" w:eastAsia="Garamond" w:hAnsi="Garamond" w:cs="Garamond"/>
                          <w:color w:val="231F20"/>
                          <w:sz w:val="24"/>
                          <w:szCs w:val="24"/>
                          <w:lang w:val="es-US"/>
                        </w:rPr>
                        <w:t xml:space="preserve"> o llamando al </w:t>
                      </w:r>
                      <w:r>
                        <w:rPr>
                          <w:rFonts w:ascii="Garamond" w:eastAsia="Garamond" w:hAnsi="Garamond" w:cs="Garamond"/>
                          <w:b/>
                          <w:bCs/>
                          <w:color w:val="231F20"/>
                          <w:sz w:val="24"/>
                          <w:szCs w:val="24"/>
                          <w:lang w:val="es-US"/>
                        </w:rPr>
                        <w:t>1-800-[insertar]</w:t>
                      </w:r>
                      <w:r>
                        <w:rPr>
                          <w:rFonts w:ascii="Garamond" w:eastAsia="Garamond" w:hAnsi="Garamond" w:cs="Garamond"/>
                          <w:color w:val="231F20"/>
                          <w:sz w:val="24"/>
                          <w:szCs w:val="24"/>
                          <w:lang w:val="es-US"/>
                        </w:rPr>
                        <w:t>.</w:t>
                      </w:r>
                    </w:p>
                  </w:txbxContent>
                </v:textbox>
                <w10:wrap type="through" anchorx="margin" anchory="page"/>
              </v:shape>
            </w:pict>
          </mc:Fallback>
        </mc:AlternateContent>
      </w:r>
    </w:p>
    <w:tbl>
      <w:tblP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959"/>
        <w:gridCol w:w="2400"/>
        <w:gridCol w:w="6537"/>
      </w:tblGrid>
      <w:tr w:rsidR="00B57ADE" w:rsidRPr="000170C2" w:rsidTr="00720D19">
        <w:trPr>
          <w:trHeight w:val="654"/>
        </w:trPr>
        <w:tc>
          <w:tcPr>
            <w:tcW w:w="0" w:type="auto"/>
            <w:tcBorders>
              <w:bottom w:val="nil"/>
            </w:tcBorders>
            <w:shd w:val="clear" w:color="auto" w:fill="00A4DE"/>
            <w:hideMark/>
          </w:tcPr>
          <w:p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lang w:val="es-US"/>
              </w:rPr>
              <w:t>Preguntas importantes</w:t>
            </w:r>
          </w:p>
        </w:tc>
        <w:tc>
          <w:tcPr>
            <w:tcW w:w="2400" w:type="dxa"/>
            <w:tcBorders>
              <w:bottom w:val="nil"/>
            </w:tcBorders>
            <w:shd w:val="clear" w:color="auto" w:fill="00A4DE"/>
            <w:hideMark/>
          </w:tcPr>
          <w:p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lang w:val="es-US"/>
              </w:rPr>
              <w:t>Respuestas</w:t>
            </w:r>
          </w:p>
        </w:tc>
        <w:tc>
          <w:tcPr>
            <w:tcW w:w="6537" w:type="dxa"/>
            <w:tcBorders>
              <w:bottom w:val="nil"/>
            </w:tcBorders>
            <w:shd w:val="clear" w:color="auto" w:fill="00A4DE"/>
            <w:hideMark/>
          </w:tcPr>
          <w:p w:rsidR="00007B96" w:rsidRPr="000170C2" w:rsidRDefault="00007B96" w:rsidP="00007B96">
            <w:pPr>
              <w:widowControl/>
              <w:spacing w:after="0" w:line="240" w:lineRule="auto"/>
              <w:rPr>
                <w:rFonts w:ascii="Arial" w:eastAsia="Times New Roman" w:hAnsi="Arial" w:cs="Arial"/>
                <w:b/>
                <w:bCs/>
                <w:color w:val="FFFFFF" w:themeColor="background1"/>
                <w:sz w:val="24"/>
                <w:szCs w:val="24"/>
                <w:lang w:val="es-US"/>
              </w:rPr>
            </w:pPr>
            <w:r>
              <w:rPr>
                <w:rFonts w:ascii="Arial" w:eastAsia="Times New Roman" w:hAnsi="Arial" w:cs="Arial"/>
                <w:b/>
                <w:bCs/>
                <w:color w:val="FFFFFF" w:themeColor="background1"/>
                <w:sz w:val="24"/>
                <w:szCs w:val="24"/>
                <w:lang w:val="es-US"/>
              </w:rPr>
              <w:t>Por qué esto es importante</w:t>
            </w:r>
          </w:p>
        </w:tc>
      </w:tr>
      <w:tr w:rsidR="00007B96" w:rsidRPr="000170C2" w:rsidTr="00720D19">
        <w:trPr>
          <w:trHeight w:val="1008"/>
        </w:trPr>
        <w:tc>
          <w:tcPr>
            <w:tcW w:w="0" w:type="auto"/>
            <w:tcBorders>
              <w:top w:val="nil"/>
            </w:tcBorders>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¿De cuánto es el monto de la prima?</w:t>
            </w:r>
          </w:p>
        </w:tc>
        <w:tc>
          <w:tcPr>
            <w:tcW w:w="2400" w:type="dxa"/>
            <w:tcBorders>
              <w:top w:val="nil"/>
            </w:tcBorders>
            <w:shd w:val="clear" w:color="auto" w:fill="auto"/>
            <w:hideMark/>
          </w:tcPr>
          <w:p w:rsidR="00007B96" w:rsidRPr="000170C2" w:rsidRDefault="002D3D19" w:rsidP="00007B96">
            <w:pPr>
              <w:widowControl/>
              <w:spacing w:after="0" w:line="240" w:lineRule="auto"/>
              <w:rPr>
                <w:rFonts w:ascii="Garamond" w:eastAsia="Times New Roman" w:hAnsi="Garamond" w:cs="Times New Roman"/>
                <w:b/>
                <w:bCs/>
                <w:color w:val="000000"/>
                <w:sz w:val="21"/>
                <w:szCs w:val="21"/>
              </w:rPr>
            </w:pPr>
            <w:r w:rsidRPr="000170C2">
              <w:rPr>
                <w:rFonts w:ascii="Garamond" w:eastAsia="Times New Roman" w:hAnsi="Garamond" w:cs="Times New Roman"/>
                <w:b/>
                <w:bCs/>
                <w:color w:val="000000"/>
                <w:sz w:val="21"/>
                <w:szCs w:val="21"/>
                <w:lang w:val="es-US"/>
              </w:rPr>
              <w:t>$</w:t>
            </w:r>
          </w:p>
        </w:tc>
        <w:tc>
          <w:tcPr>
            <w:tcW w:w="6537" w:type="dxa"/>
            <w:tcBorders>
              <w:top w:val="nil"/>
            </w:tcBorders>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El monto de la prima es una tarifa mensual que debe pagar a su compañía de seguros para recibir seguro dental.</w:t>
            </w:r>
          </w:p>
        </w:tc>
      </w:tr>
      <w:tr w:rsidR="00007B96" w:rsidRPr="000170C2" w:rsidTr="00720D19">
        <w:trPr>
          <w:trHeight w:val="1440"/>
        </w:trPr>
        <w:tc>
          <w:tcPr>
            <w:tcW w:w="0" w:type="auto"/>
            <w:vMerge w:val="restart"/>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¿Cuál es el deducible general?</w:t>
            </w:r>
          </w:p>
        </w:tc>
        <w:tc>
          <w:tcPr>
            <w:tcW w:w="2400" w:type="dxa"/>
            <w:vMerge w:val="restart"/>
            <w:shd w:val="clear" w:color="auto" w:fill="auto"/>
            <w:hideMark/>
          </w:tcPr>
          <w:p w:rsidR="00007B96" w:rsidRPr="000170C2" w:rsidRDefault="002D3D19" w:rsidP="00007B96">
            <w:pPr>
              <w:widowControl/>
              <w:spacing w:after="0" w:line="240" w:lineRule="auto"/>
              <w:rPr>
                <w:rFonts w:ascii="Garamond" w:eastAsia="Times New Roman" w:hAnsi="Garamond" w:cs="Times New Roman"/>
                <w:b/>
                <w:bCs/>
                <w:color w:val="000000"/>
                <w:sz w:val="21"/>
                <w:szCs w:val="21"/>
              </w:rPr>
            </w:pPr>
            <w:r w:rsidRPr="000170C2">
              <w:rPr>
                <w:rFonts w:ascii="Garamond" w:eastAsia="Times New Roman" w:hAnsi="Garamond" w:cs="Times New Roman"/>
                <w:b/>
                <w:bCs/>
                <w:color w:val="000000"/>
                <w:sz w:val="21"/>
                <w:szCs w:val="21"/>
                <w:lang w:val="es-US"/>
              </w:rPr>
              <w:t>$</w:t>
            </w:r>
          </w:p>
        </w:tc>
        <w:tc>
          <w:tcPr>
            <w:tcW w:w="6537" w:type="dxa"/>
            <w:vMerge w:val="restart"/>
            <w:shd w:val="clear" w:color="auto" w:fill="auto"/>
            <w:hideMark/>
          </w:tcPr>
          <w:p w:rsidR="00BB4D2E" w:rsidRPr="000170C2" w:rsidRDefault="002D3D19"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Debe pagar todos los costos relacionados con los servicios cubiertos hasta alcanzar el monto del deducible antes de que este plan comience a pagar los servicios cubiertos que reciba. Revise su póliza o su documento del plan para ver cuándo vuelve a comenzar el deducible (generalmente, pero no siempre, el 1 de enero). Vea la tabla que inicia en la en la página 2 para ver cuánto pagará por los servicios cubiertos después de que cubra el deducible.</w:t>
            </w:r>
          </w:p>
        </w:tc>
      </w:tr>
      <w:tr w:rsidR="00007B96" w:rsidRPr="000170C2" w:rsidTr="00C610CA">
        <w:trPr>
          <w:trHeight w:val="248"/>
        </w:trPr>
        <w:tc>
          <w:tcPr>
            <w:tcW w:w="0" w:type="auto"/>
            <w:vMerge/>
            <w:vAlign w:val="center"/>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2400" w:type="dxa"/>
            <w:vMerge/>
            <w:vAlign w:val="center"/>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6537" w:type="dxa"/>
            <w:vMerge/>
            <w:vAlign w:val="center"/>
            <w:hideMark/>
          </w:tcPr>
          <w:p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p>
        </w:tc>
      </w:tr>
      <w:tr w:rsidR="00007B96" w:rsidRPr="000170C2" w:rsidTr="00720D19">
        <w:trPr>
          <w:trHeight w:val="1008"/>
        </w:trPr>
        <w:tc>
          <w:tcPr>
            <w:tcW w:w="0" w:type="auto"/>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¿El deducible aplica a los servicios preventivos?</w:t>
            </w:r>
          </w:p>
        </w:tc>
        <w:tc>
          <w:tcPr>
            <w:tcW w:w="2400"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 xml:space="preserve"> </w:t>
            </w:r>
          </w:p>
        </w:tc>
        <w:tc>
          <w:tcPr>
            <w:tcW w:w="6537"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 xml:space="preserve">El deducible </w:t>
            </w:r>
            <w:r w:rsidRPr="000170C2">
              <w:rPr>
                <w:rFonts w:ascii="Garamond" w:eastAsia="Times New Roman" w:hAnsi="Garamond" w:cs="Times New Roman"/>
                <w:b/>
                <w:bCs/>
                <w:color w:val="231F20"/>
                <w:sz w:val="21"/>
                <w:szCs w:val="21"/>
                <w:lang w:val="es-US"/>
              </w:rPr>
              <w:t xml:space="preserve">[sí / no] </w:t>
            </w:r>
            <w:r w:rsidRPr="000170C2">
              <w:rPr>
                <w:rFonts w:ascii="Garamond" w:eastAsia="Times New Roman" w:hAnsi="Garamond" w:cs="Times New Roman"/>
                <w:color w:val="231F20"/>
                <w:sz w:val="21"/>
                <w:szCs w:val="21"/>
                <w:lang w:val="es-US"/>
              </w:rPr>
              <w:t>aplica a exámenes preventivos, limpiezas y otros servicios preventivos. Vea la tabla que inicia en la en la página 2 para ver cuánto pagará por los servicios preventivos cubiertos.</w:t>
            </w:r>
          </w:p>
        </w:tc>
      </w:tr>
      <w:tr w:rsidR="00007B96" w:rsidRPr="000170C2" w:rsidTr="00720D19">
        <w:trPr>
          <w:trHeight w:val="1008"/>
        </w:trPr>
        <w:tc>
          <w:tcPr>
            <w:tcW w:w="0" w:type="auto"/>
            <w:shd w:val="clear" w:color="auto" w:fill="auto"/>
            <w:hideMark/>
          </w:tcPr>
          <w:p w:rsidR="002D3D19" w:rsidRPr="000170C2" w:rsidRDefault="002D3D19" w:rsidP="002D3D19">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¿Cuál es el límite a mis gastos por cuenta propia?</w:t>
            </w:r>
          </w:p>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2400" w:type="dxa"/>
            <w:shd w:val="clear" w:color="auto" w:fill="auto"/>
            <w:hideMark/>
          </w:tcPr>
          <w:p w:rsidR="00007B96" w:rsidRPr="000170C2" w:rsidRDefault="002D3D19"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$___ por 1 menor</w:t>
            </w:r>
          </w:p>
          <w:p w:rsidR="00AE7D0A" w:rsidRPr="000170C2" w:rsidRDefault="00AE7D0A" w:rsidP="00007B96">
            <w:pPr>
              <w:widowControl/>
              <w:spacing w:after="0" w:line="240" w:lineRule="auto"/>
              <w:rPr>
                <w:rFonts w:ascii="Garamond" w:eastAsia="Times New Roman" w:hAnsi="Garamond" w:cs="Times New Roman"/>
                <w:b/>
                <w:bCs/>
                <w:color w:val="000000"/>
                <w:sz w:val="21"/>
                <w:szCs w:val="21"/>
                <w:lang w:val="es-US"/>
              </w:rPr>
            </w:pPr>
          </w:p>
          <w:p w:rsidR="00AE7D0A" w:rsidRPr="000170C2" w:rsidRDefault="000D2CD0"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$___ por 2 menores o más</w:t>
            </w:r>
          </w:p>
        </w:tc>
        <w:tc>
          <w:tcPr>
            <w:tcW w:w="6537"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El límite a los gastos por cuenta propia es la máxima cantidad que podría pagar durante el año de cobertura por su parte del costo de los servicios cubiertos. Este límite le ayuda a planear los gastos de su cuidado dental.</w:t>
            </w:r>
          </w:p>
        </w:tc>
      </w:tr>
      <w:tr w:rsidR="00007B96" w:rsidRPr="000170C2" w:rsidTr="00720D19">
        <w:trPr>
          <w:trHeight w:val="1008"/>
        </w:trPr>
        <w:tc>
          <w:tcPr>
            <w:tcW w:w="0" w:type="auto"/>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¿Qué no está incluido en el límite de gastos por cuenta propia?</w:t>
            </w:r>
          </w:p>
        </w:tc>
        <w:tc>
          <w:tcPr>
            <w:tcW w:w="2400"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000000"/>
                <w:sz w:val="21"/>
                <w:szCs w:val="21"/>
              </w:rPr>
            </w:pPr>
            <w:r w:rsidRPr="000170C2">
              <w:rPr>
                <w:rFonts w:ascii="Garamond" w:eastAsia="Times New Roman" w:hAnsi="Garamond" w:cs="Times New Roman"/>
                <w:color w:val="000000"/>
                <w:sz w:val="21"/>
                <w:szCs w:val="21"/>
                <w:lang w:val="es-US"/>
              </w:rPr>
              <w:t>Primas, servicios no cubiertos.</w:t>
            </w:r>
          </w:p>
        </w:tc>
        <w:tc>
          <w:tcPr>
            <w:tcW w:w="6537"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Aunque usted pague estos gastos, no cuentan para el</w:t>
            </w:r>
            <w:r w:rsidRPr="000170C2">
              <w:rPr>
                <w:rFonts w:ascii="Garamond" w:eastAsia="Times New Roman" w:hAnsi="Garamond" w:cs="Times New Roman"/>
                <w:color w:val="000000"/>
                <w:sz w:val="21"/>
                <w:szCs w:val="21"/>
                <w:lang w:val="es-US"/>
              </w:rPr>
              <w:br/>
              <w:t>límite de pago por cuenta propia.</w:t>
            </w:r>
          </w:p>
        </w:tc>
      </w:tr>
      <w:tr w:rsidR="00007B96" w:rsidRPr="00007B96" w:rsidTr="00C610CA">
        <w:trPr>
          <w:trHeight w:val="874"/>
        </w:trPr>
        <w:tc>
          <w:tcPr>
            <w:tcW w:w="0" w:type="auto"/>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¿Hay un límite anual general para lo que paga el plan?</w:t>
            </w:r>
          </w:p>
        </w:tc>
        <w:tc>
          <w:tcPr>
            <w:tcW w:w="2400" w:type="dxa"/>
            <w:shd w:val="clear" w:color="auto" w:fill="auto"/>
            <w:hideMark/>
          </w:tcPr>
          <w:p w:rsidR="00007B96" w:rsidRPr="000170C2" w:rsidRDefault="002D3D19" w:rsidP="00007B96">
            <w:pPr>
              <w:widowControl/>
              <w:spacing w:after="0" w:line="240" w:lineRule="auto"/>
              <w:rPr>
                <w:rFonts w:ascii="Garamond" w:eastAsia="Times New Roman" w:hAnsi="Garamond" w:cs="Times New Roman"/>
                <w:bCs/>
                <w:color w:val="000000"/>
                <w:sz w:val="21"/>
                <w:szCs w:val="21"/>
              </w:rPr>
            </w:pPr>
            <w:r w:rsidRPr="000170C2">
              <w:rPr>
                <w:rFonts w:ascii="Garamond" w:eastAsia="Times New Roman" w:hAnsi="Garamond" w:cs="Times New Roman"/>
                <w:color w:val="000000"/>
                <w:sz w:val="21"/>
                <w:szCs w:val="21"/>
                <w:lang w:val="es-US"/>
              </w:rPr>
              <w:t xml:space="preserve">No. </w:t>
            </w:r>
          </w:p>
        </w:tc>
        <w:tc>
          <w:tcPr>
            <w:tcW w:w="6537" w:type="dxa"/>
            <w:shd w:val="clear" w:color="auto" w:fill="auto"/>
            <w:hideMark/>
          </w:tcPr>
          <w:p w:rsidR="00007B96" w:rsidRPr="000170C2" w:rsidRDefault="00007B96" w:rsidP="00931504">
            <w:pPr>
              <w:widowControl/>
              <w:spacing w:after="0" w:line="240" w:lineRule="auto"/>
              <w:rPr>
                <w:rFonts w:ascii="Garamond" w:eastAsia="Times New Roman" w:hAnsi="Garamond" w:cs="Times New Roman"/>
                <w:color w:val="231F20"/>
                <w:sz w:val="21"/>
                <w:szCs w:val="21"/>
              </w:rPr>
            </w:pPr>
            <w:r w:rsidRPr="000170C2">
              <w:rPr>
                <w:rFonts w:ascii="Garamond" w:eastAsia="Times New Roman" w:hAnsi="Garamond" w:cs="Times New Roman"/>
                <w:color w:val="231F20"/>
                <w:sz w:val="21"/>
                <w:szCs w:val="21"/>
                <w:lang w:val="es-US"/>
              </w:rPr>
              <w:t xml:space="preserve">No hay un límite anual general para lo que paga el plan. La tabla que inicia en la página 2 describe los límites para lo que paga el plan para servicios </w:t>
            </w:r>
            <w:r w:rsidRPr="000170C2">
              <w:rPr>
                <w:rFonts w:ascii="Garamond" w:eastAsia="Times New Roman" w:hAnsi="Garamond" w:cs="Times New Roman"/>
                <w:i/>
                <w:iCs/>
                <w:color w:val="231F20"/>
                <w:sz w:val="21"/>
                <w:szCs w:val="21"/>
                <w:lang w:val="es-US"/>
              </w:rPr>
              <w:t>específicos</w:t>
            </w:r>
            <w:r w:rsidRPr="000170C2">
              <w:rPr>
                <w:rFonts w:ascii="Garamond" w:eastAsia="Times New Roman" w:hAnsi="Garamond" w:cs="Times New Roman"/>
                <w:color w:val="231F20"/>
                <w:sz w:val="21"/>
                <w:szCs w:val="21"/>
                <w:lang w:val="es-US"/>
              </w:rPr>
              <w:t xml:space="preserve"> cubiertos para menores. Este plan no cubre beneficios para adultos.</w:t>
            </w:r>
          </w:p>
        </w:tc>
      </w:tr>
      <w:tr w:rsidR="00007B96" w:rsidRPr="000170C2" w:rsidTr="00720D19">
        <w:trPr>
          <w:trHeight w:val="1440"/>
        </w:trPr>
        <w:tc>
          <w:tcPr>
            <w:tcW w:w="0" w:type="auto"/>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¿Quién está incluido en la red de proveedores del plan?</w:t>
            </w:r>
          </w:p>
        </w:tc>
        <w:tc>
          <w:tcPr>
            <w:tcW w:w="2400"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 xml:space="preserve">Vea </w:t>
            </w:r>
            <w:r w:rsidRPr="000170C2">
              <w:rPr>
                <w:rFonts w:ascii="Garamond" w:eastAsia="Times New Roman" w:hAnsi="Garamond" w:cs="Times New Roman"/>
                <w:b/>
                <w:bCs/>
                <w:color w:val="000000"/>
                <w:sz w:val="21"/>
                <w:szCs w:val="21"/>
                <w:lang w:val="es-US"/>
              </w:rPr>
              <w:t>www.[insert]</w:t>
            </w:r>
            <w:r w:rsidRPr="000170C2">
              <w:rPr>
                <w:rFonts w:ascii="Garamond" w:eastAsia="Times New Roman" w:hAnsi="Garamond" w:cs="Times New Roman"/>
                <w:color w:val="000000"/>
                <w:sz w:val="21"/>
                <w:szCs w:val="21"/>
                <w:lang w:val="es-US"/>
              </w:rPr>
              <w:t xml:space="preserve"> o llame al </w:t>
            </w:r>
            <w:r w:rsidRPr="000170C2">
              <w:rPr>
                <w:rFonts w:ascii="Garamond" w:eastAsia="Times New Roman" w:hAnsi="Garamond" w:cs="Times New Roman"/>
                <w:b/>
                <w:bCs/>
                <w:color w:val="000000"/>
                <w:sz w:val="21"/>
                <w:szCs w:val="21"/>
                <w:lang w:val="es-US"/>
              </w:rPr>
              <w:t>1-800-[insert]</w:t>
            </w:r>
            <w:r w:rsidRPr="000170C2">
              <w:rPr>
                <w:rFonts w:ascii="Garamond" w:eastAsia="Times New Roman" w:hAnsi="Garamond" w:cs="Times New Roman"/>
                <w:color w:val="000000"/>
                <w:sz w:val="21"/>
                <w:szCs w:val="21"/>
                <w:lang w:val="es-US"/>
              </w:rPr>
              <w:t xml:space="preserve"> para ver una lista de proveedores participantes.</w:t>
            </w:r>
          </w:p>
        </w:tc>
        <w:tc>
          <w:tcPr>
            <w:tcW w:w="6537"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Si utiliza un proveedor dentro de la red, este plan le pagará, de manera parcial o total, el costo de los servicios cubiertos. Esté enterado de que su dentista dentro de la red puede utilizar un proveedor que requiera gastos por cuenta propia (como un hospital) para algunos servicios. Los planes utilizan el término "dentro de la red", "preferido" o "participante" para referirse a los proveedores dentro de sus redes. Vea la tabla que inicia en la página 2 para ver cómo este plan le paga a diferentes tipos de proveedores.</w:t>
            </w:r>
          </w:p>
        </w:tc>
      </w:tr>
      <w:tr w:rsidR="00007B96" w:rsidRPr="000170C2" w:rsidTr="00C610CA">
        <w:trPr>
          <w:trHeight w:val="766"/>
        </w:trPr>
        <w:tc>
          <w:tcPr>
            <w:tcW w:w="0" w:type="auto"/>
            <w:shd w:val="clear" w:color="auto" w:fill="auto"/>
            <w:hideMark/>
          </w:tcPr>
          <w:p w:rsidR="00007B96" w:rsidRPr="000170C2" w:rsidRDefault="00B57ADE"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¿Mi hijo(a) necesita una derivación para consultar a un especialista?</w:t>
            </w:r>
          </w:p>
        </w:tc>
        <w:tc>
          <w:tcPr>
            <w:tcW w:w="2400"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6537"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 xml:space="preserve">Puede consultar al especialista que elija </w:t>
            </w:r>
            <w:r w:rsidRPr="000170C2">
              <w:rPr>
                <w:rFonts w:ascii="Garamond" w:eastAsia="Times New Roman" w:hAnsi="Garamond" w:cs="Times New Roman"/>
                <w:b/>
                <w:bCs/>
                <w:color w:val="231F20"/>
                <w:sz w:val="21"/>
                <w:szCs w:val="21"/>
                <w:lang w:val="es-US"/>
              </w:rPr>
              <w:t>[con / sin]</w:t>
            </w:r>
            <w:r w:rsidRPr="000170C2">
              <w:rPr>
                <w:rFonts w:ascii="Garamond" w:eastAsia="Times New Roman" w:hAnsi="Garamond" w:cs="Times New Roman"/>
                <w:color w:val="231F20"/>
                <w:sz w:val="21"/>
                <w:szCs w:val="21"/>
                <w:lang w:val="es-US"/>
              </w:rPr>
              <w:t xml:space="preserve"> permiso de este plan.</w:t>
            </w:r>
          </w:p>
        </w:tc>
      </w:tr>
      <w:tr w:rsidR="00007B96" w:rsidRPr="000170C2" w:rsidTr="00720D19">
        <w:trPr>
          <w:trHeight w:val="1008"/>
        </w:trPr>
        <w:tc>
          <w:tcPr>
            <w:tcW w:w="0" w:type="auto"/>
            <w:shd w:val="clear" w:color="auto" w:fill="auto"/>
            <w:hideMark/>
          </w:tcPr>
          <w:p w:rsidR="00007B96" w:rsidRPr="000170C2" w:rsidRDefault="00B57ADE"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¿Mi hijo(a) necesita autorización previa antes de recibir ciertos servicios dentales?</w:t>
            </w:r>
          </w:p>
        </w:tc>
        <w:tc>
          <w:tcPr>
            <w:tcW w:w="2400"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6537"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 xml:space="preserve">Usted </w:t>
            </w:r>
            <w:r w:rsidRPr="000170C2">
              <w:rPr>
                <w:rFonts w:ascii="Garamond" w:eastAsia="Times New Roman" w:hAnsi="Garamond" w:cs="Times New Roman"/>
                <w:b/>
                <w:bCs/>
                <w:color w:val="231F20"/>
                <w:sz w:val="21"/>
                <w:szCs w:val="21"/>
                <w:lang w:val="es-US"/>
              </w:rPr>
              <w:t>[sí / no]</w:t>
            </w:r>
            <w:r w:rsidRPr="000170C2">
              <w:rPr>
                <w:rFonts w:ascii="Garamond" w:eastAsia="Times New Roman" w:hAnsi="Garamond" w:cs="Times New Roman"/>
                <w:color w:val="231F20"/>
                <w:sz w:val="21"/>
                <w:szCs w:val="21"/>
                <w:lang w:val="es-US"/>
              </w:rPr>
              <w:t xml:space="preserve"> necesita llamar al plan al </w:t>
            </w:r>
            <w:r w:rsidRPr="000170C2">
              <w:rPr>
                <w:rFonts w:ascii="Garamond" w:eastAsia="Times New Roman" w:hAnsi="Garamond" w:cs="Times New Roman"/>
                <w:b/>
                <w:bCs/>
                <w:color w:val="231F20"/>
                <w:sz w:val="21"/>
                <w:szCs w:val="21"/>
                <w:lang w:val="es-US"/>
              </w:rPr>
              <w:t xml:space="preserve">1-800-[insertar] </w:t>
            </w:r>
            <w:r w:rsidRPr="000170C2">
              <w:rPr>
                <w:rFonts w:ascii="Garamond" w:eastAsia="Times New Roman" w:hAnsi="Garamond" w:cs="Times New Roman"/>
                <w:color w:val="231F20"/>
                <w:sz w:val="21"/>
                <w:szCs w:val="21"/>
                <w:lang w:val="es-US"/>
              </w:rPr>
              <w:t>antes de recibir ciertos servicios dentales. Consulte su póliza o documento del plan para obtener información adicional.</w:t>
            </w:r>
          </w:p>
        </w:tc>
      </w:tr>
      <w:tr w:rsidR="00007B96" w:rsidRPr="000170C2" w:rsidTr="00FF2822">
        <w:trPr>
          <w:trHeight w:val="586"/>
        </w:trPr>
        <w:tc>
          <w:tcPr>
            <w:tcW w:w="0" w:type="auto"/>
            <w:shd w:val="clear" w:color="auto" w:fill="auto"/>
            <w:hideMark/>
          </w:tcPr>
          <w:p w:rsidR="00007B96" w:rsidRPr="000170C2" w:rsidRDefault="00007B96" w:rsidP="00007B96">
            <w:pPr>
              <w:widowControl/>
              <w:spacing w:after="0" w:line="240" w:lineRule="auto"/>
              <w:rPr>
                <w:rFonts w:ascii="Garamond" w:eastAsia="Times New Roman" w:hAnsi="Garamond" w:cs="Times New Roman"/>
                <w:b/>
                <w:bCs/>
                <w:color w:val="231F20"/>
                <w:sz w:val="21"/>
                <w:szCs w:val="21"/>
                <w:lang w:val="es-US"/>
              </w:rPr>
            </w:pPr>
            <w:r w:rsidRPr="000170C2">
              <w:rPr>
                <w:rFonts w:ascii="Garamond" w:eastAsia="Times New Roman" w:hAnsi="Garamond" w:cs="Times New Roman"/>
                <w:b/>
                <w:bCs/>
                <w:color w:val="231F20"/>
                <w:sz w:val="21"/>
                <w:szCs w:val="21"/>
                <w:lang w:val="es-US"/>
              </w:rPr>
              <w:t>¿Hay servicios que este plan no cubre?</w:t>
            </w:r>
          </w:p>
        </w:tc>
        <w:tc>
          <w:tcPr>
            <w:tcW w:w="2400"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000000"/>
                <w:sz w:val="21"/>
                <w:szCs w:val="21"/>
              </w:rPr>
            </w:pPr>
            <w:r w:rsidRPr="000170C2">
              <w:rPr>
                <w:rFonts w:ascii="Garamond" w:eastAsia="Times New Roman" w:hAnsi="Garamond" w:cs="Times New Roman"/>
                <w:color w:val="000000"/>
                <w:sz w:val="21"/>
                <w:szCs w:val="21"/>
                <w:lang w:val="es-US"/>
              </w:rPr>
              <w:t>Sí.</w:t>
            </w:r>
          </w:p>
        </w:tc>
        <w:tc>
          <w:tcPr>
            <w:tcW w:w="6537" w:type="dxa"/>
            <w:shd w:val="clear" w:color="auto" w:fill="auto"/>
            <w:hideMark/>
          </w:tcPr>
          <w:p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Algunos de los servicios que no cubre este plan aparecen en la página 3. Consulte su póliza o documento del plan para obtener información adicional sobre los servicios excluidos.</w:t>
            </w:r>
          </w:p>
        </w:tc>
      </w:tr>
    </w:tbl>
    <w:p w:rsidR="00F83CC7" w:rsidRPr="000170C2" w:rsidRDefault="00684A16" w:rsidP="00CD0311">
      <w:pPr>
        <w:spacing w:after="0" w:line="240" w:lineRule="auto"/>
        <w:rPr>
          <w:lang w:val="es-US"/>
        </w:rPr>
      </w:pPr>
      <w:r>
        <w:rPr>
          <w:rFonts w:ascii="Garamond" w:hAnsi="Garamond"/>
          <w:noProof/>
        </w:rPr>
        <w:lastRenderedPageBreak/>
        <mc:AlternateContent>
          <mc:Choice Requires="wps">
            <w:drawing>
              <wp:anchor distT="45720" distB="45720" distL="114300" distR="114300" simplePos="0" relativeHeight="251736576" behindDoc="0" locked="0" layoutInCell="1" allowOverlap="1">
                <wp:simplePos x="0" y="0"/>
                <wp:positionH relativeFrom="column">
                  <wp:posOffset>107950</wp:posOffset>
                </wp:positionH>
                <wp:positionV relativeFrom="paragraph">
                  <wp:posOffset>19050</wp:posOffset>
                </wp:positionV>
                <wp:extent cx="7348220" cy="2171700"/>
                <wp:effectExtent l="19050" t="19050" r="24130" b="1905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220" cy="2171700"/>
                        </a:xfrm>
                        <a:prstGeom prst="rect">
                          <a:avLst/>
                        </a:prstGeom>
                        <a:solidFill>
                          <a:srgbClr val="00A4DE"/>
                        </a:solidFill>
                        <a:ln w="28575">
                          <a:solidFill>
                            <a:schemeClr val="tx2">
                              <a:lumMod val="75000"/>
                            </a:schemeClr>
                          </a:solidFill>
                          <a:miter lim="800000"/>
                          <a:headEnd/>
                          <a:tailEnd/>
                        </a:ln>
                      </wps:spPr>
                      <wps:txbx>
                        <w:txbxContent>
                          <w:p w:rsidR="00CD0311" w:rsidRPr="000170C2" w:rsidRDefault="00CD0311" w:rsidP="00CD0311">
                            <w:pPr>
                              <w:tabs>
                                <w:tab w:val="left" w:pos="1680"/>
                              </w:tabs>
                              <w:spacing w:before="87" w:after="0" w:line="240" w:lineRule="auto"/>
                              <w:ind w:left="1680" w:right="-20" w:hanging="355"/>
                              <w:rPr>
                                <w:rFonts w:ascii="Garamond" w:eastAsia="Garamond" w:hAnsi="Garamond" w:cs="Garamond"/>
                                <w:szCs w:val="24"/>
                                <w:lang w:val="es-US"/>
                              </w:rPr>
                            </w:pPr>
                            <w:r>
                              <w:rPr>
                                <w:rFonts w:ascii="Garamond" w:eastAsia="Garamond" w:hAnsi="Garamond" w:cs="Garamond"/>
                                <w:b/>
                                <w:bCs/>
                                <w:color w:val="231F20"/>
                                <w:sz w:val="24"/>
                                <w:szCs w:val="24"/>
                                <w:lang w:val="es-US"/>
                              </w:rPr>
                              <w:t xml:space="preserve">• </w:t>
                            </w:r>
                            <w:r>
                              <w:rPr>
                                <w:rFonts w:ascii="Garamond" w:eastAsia="Garamond" w:hAnsi="Garamond" w:cs="Garamond"/>
                                <w:b/>
                                <w:bCs/>
                                <w:color w:val="231F20"/>
                                <w:sz w:val="24"/>
                                <w:szCs w:val="24"/>
                                <w:lang w:val="es-US"/>
                              </w:rPr>
                              <w:tab/>
                            </w:r>
                            <w:r>
                              <w:rPr>
                                <w:rFonts w:ascii="Garamond" w:eastAsia="Garamond" w:hAnsi="Garamond" w:cs="Garamond"/>
                                <w:b/>
                                <w:bCs/>
                                <w:color w:val="231F20"/>
                                <w:szCs w:val="24"/>
                                <w:lang w:val="es-US"/>
                              </w:rPr>
                              <w:t xml:space="preserve">Los copagos </w:t>
                            </w:r>
                            <w:r>
                              <w:rPr>
                                <w:rFonts w:ascii="Garamond" w:eastAsia="Garamond" w:hAnsi="Garamond" w:cs="Garamond"/>
                                <w:color w:val="231F20"/>
                                <w:szCs w:val="24"/>
                                <w:lang w:val="es-US"/>
                              </w:rPr>
                              <w:t>con cantidades fijas de dinero (por ejemplo, $15) que usted paga por los servicios dentales cubiertos, generalmente en el</w:t>
                            </w:r>
                            <w:r>
                              <w:rPr>
                                <w:rFonts w:ascii="Garamond" w:eastAsia="Garamond" w:hAnsi="Garamond" w:cs="Garamond"/>
                                <w:szCs w:val="24"/>
                                <w:lang w:val="es-US"/>
                              </w:rPr>
                              <w:t xml:space="preserve"> </w:t>
                            </w:r>
                            <w:r>
                              <w:rPr>
                                <w:rFonts w:ascii="Garamond" w:eastAsia="Garamond" w:hAnsi="Garamond" w:cs="Garamond"/>
                                <w:color w:val="231F20"/>
                                <w:szCs w:val="24"/>
                                <w:lang w:val="es-US"/>
                              </w:rPr>
                              <w:t>momento del servicio.</w:t>
                            </w:r>
                          </w:p>
                          <w:p w:rsidR="00CD0311" w:rsidRPr="000170C2" w:rsidRDefault="00CD0311" w:rsidP="00CD0311">
                            <w:pPr>
                              <w:tabs>
                                <w:tab w:val="left" w:pos="1680"/>
                              </w:tabs>
                              <w:spacing w:before="18" w:after="0" w:line="256" w:lineRule="auto"/>
                              <w:ind w:left="1685" w:right="172" w:hanging="360"/>
                              <w:rPr>
                                <w:rFonts w:ascii="Garamond" w:eastAsia="Garamond" w:hAnsi="Garamond" w:cs="Garamond"/>
                                <w:szCs w:val="24"/>
                                <w:lang w:val="es-US"/>
                              </w:rPr>
                            </w:pPr>
                            <w:r>
                              <w:rPr>
                                <w:rFonts w:ascii="Garamond" w:eastAsia="Garamond" w:hAnsi="Garamond" w:cs="Garamond"/>
                                <w:b/>
                                <w:bCs/>
                                <w:color w:val="231F20"/>
                                <w:szCs w:val="24"/>
                                <w:lang w:val="es-US"/>
                              </w:rPr>
                              <w:t xml:space="preserve">• </w:t>
                            </w:r>
                            <w:r>
                              <w:rPr>
                                <w:rFonts w:ascii="Garamond" w:eastAsia="Garamond" w:hAnsi="Garamond" w:cs="Garamond"/>
                                <w:b/>
                                <w:bCs/>
                                <w:color w:val="231F20"/>
                                <w:szCs w:val="24"/>
                                <w:lang w:val="es-US"/>
                              </w:rPr>
                              <w:tab/>
                              <w:t>El coaseguro</w:t>
                            </w:r>
                            <w:r>
                              <w:rPr>
                                <w:rFonts w:ascii="Garamond" w:eastAsia="Garamond" w:hAnsi="Garamond" w:cs="Garamond"/>
                                <w:color w:val="231F20"/>
                                <w:szCs w:val="24"/>
                                <w:lang w:val="es-US"/>
                              </w:rPr>
                              <w:t xml:space="preserve">, que es diferente de los copagos, es </w:t>
                            </w:r>
                            <w:r>
                              <w:rPr>
                                <w:rFonts w:ascii="Garamond" w:eastAsia="Garamond" w:hAnsi="Garamond" w:cs="Garamond"/>
                                <w:i/>
                                <w:iCs/>
                                <w:color w:val="231F20"/>
                                <w:szCs w:val="24"/>
                                <w:lang w:val="es-US"/>
                              </w:rPr>
                              <w:t xml:space="preserve">su </w:t>
                            </w:r>
                            <w:r>
                              <w:rPr>
                                <w:rFonts w:ascii="Garamond" w:eastAsia="Garamond" w:hAnsi="Garamond" w:cs="Garamond"/>
                                <w:color w:val="231F20"/>
                                <w:szCs w:val="24"/>
                                <w:lang w:val="es-US"/>
                              </w:rPr>
                              <w:t xml:space="preserve">parte del costo de un servicio cubierto, calculado como un porcentaje del </w:t>
                            </w:r>
                            <w:r>
                              <w:rPr>
                                <w:rFonts w:ascii="Garamond" w:eastAsia="Garamond" w:hAnsi="Garamond" w:cs="Garamond"/>
                                <w:b/>
                                <w:bCs/>
                                <w:color w:val="231F20"/>
                                <w:szCs w:val="24"/>
                                <w:lang w:val="es-US"/>
                              </w:rPr>
                              <w:t xml:space="preserve">monto permitido </w:t>
                            </w:r>
                            <w:r>
                              <w:rPr>
                                <w:rFonts w:ascii="Garamond" w:eastAsia="Garamond" w:hAnsi="Garamond" w:cs="Garamond"/>
                                <w:color w:val="231F20"/>
                                <w:szCs w:val="24"/>
                                <w:lang w:val="es-US"/>
                              </w:rPr>
                              <w:t xml:space="preserve">para el servicio. Por ejemplo, su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del plan es un procedimiento de restauración (por ejemplo, una corona) es de $1,000, su pago de </w:t>
                            </w:r>
                            <w:r>
                              <w:rPr>
                                <w:rFonts w:ascii="Garamond" w:eastAsia="Garamond" w:hAnsi="Garamond" w:cs="Garamond"/>
                                <w:b/>
                                <w:bCs/>
                                <w:color w:val="231F20"/>
                                <w:szCs w:val="24"/>
                                <w:lang w:val="es-US"/>
                              </w:rPr>
                              <w:t xml:space="preserve">coaseguro </w:t>
                            </w:r>
                            <w:r>
                              <w:rPr>
                                <w:rFonts w:ascii="Garamond" w:eastAsia="Garamond" w:hAnsi="Garamond" w:cs="Garamond"/>
                                <w:color w:val="231F20"/>
                                <w:szCs w:val="24"/>
                                <w:lang w:val="es-US"/>
                              </w:rPr>
                              <w:t xml:space="preserve">del 20% sería de $200.  Esto podría cambiar si aún no ha cubierto su </w:t>
                            </w:r>
                            <w:r>
                              <w:rPr>
                                <w:rFonts w:ascii="Garamond" w:eastAsia="Garamond" w:hAnsi="Garamond" w:cs="Garamond"/>
                                <w:b/>
                                <w:bCs/>
                                <w:color w:val="231F20"/>
                                <w:szCs w:val="24"/>
                                <w:lang w:val="es-US"/>
                              </w:rPr>
                              <w:t>deducible</w:t>
                            </w:r>
                            <w:r>
                              <w:rPr>
                                <w:rFonts w:ascii="Garamond" w:eastAsia="Garamond" w:hAnsi="Garamond" w:cs="Garamond"/>
                                <w:color w:val="231F20"/>
                                <w:szCs w:val="24"/>
                                <w:lang w:val="es-US"/>
                              </w:rPr>
                              <w:t>.</w:t>
                            </w:r>
                          </w:p>
                          <w:p w:rsidR="00CD0311" w:rsidRPr="000170C2" w:rsidRDefault="00CD0311" w:rsidP="00CD0311">
                            <w:pPr>
                              <w:tabs>
                                <w:tab w:val="left" w:pos="1680"/>
                              </w:tabs>
                              <w:spacing w:after="0" w:line="256" w:lineRule="auto"/>
                              <w:ind w:left="1685" w:right="148" w:hanging="360"/>
                              <w:rPr>
                                <w:rFonts w:ascii="Garamond" w:eastAsia="Garamond" w:hAnsi="Garamond" w:cs="Garamond"/>
                                <w:szCs w:val="24"/>
                                <w:lang w:val="es-US"/>
                              </w:rPr>
                            </w:pPr>
                            <w:r>
                              <w:rPr>
                                <w:rFonts w:ascii="Garamond" w:eastAsia="Garamond" w:hAnsi="Garamond" w:cs="Garamond"/>
                                <w:color w:val="231F20"/>
                                <w:szCs w:val="24"/>
                                <w:lang w:val="es-US"/>
                              </w:rPr>
                              <w:t>•</w:t>
                            </w:r>
                            <w:r>
                              <w:rPr>
                                <w:rFonts w:ascii="Garamond" w:eastAsia="Garamond" w:hAnsi="Garamond" w:cs="Garamond"/>
                                <w:color w:val="231F20"/>
                                <w:szCs w:val="24"/>
                                <w:lang w:val="es-US"/>
                              </w:rPr>
                              <w:tab/>
                              <w:t xml:space="preserve">El monto que paga el plan por los servicios cubiertos se basa en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Si un </w:t>
                            </w:r>
                            <w:r>
                              <w:rPr>
                                <w:rFonts w:ascii="Garamond" w:eastAsia="Garamond" w:hAnsi="Garamond" w:cs="Garamond"/>
                                <w:b/>
                                <w:bCs/>
                                <w:color w:val="231F20"/>
                                <w:szCs w:val="24"/>
                                <w:lang w:val="es-US"/>
                              </w:rPr>
                              <w:t>proveedor</w:t>
                            </w:r>
                            <w:r>
                              <w:rPr>
                                <w:rFonts w:ascii="Garamond" w:eastAsia="Garamond" w:hAnsi="Garamond" w:cs="Garamond"/>
                                <w:color w:val="231F20"/>
                                <w:szCs w:val="24"/>
                                <w:lang w:val="es-US"/>
                              </w:rPr>
                              <w:t xml:space="preserve"> fuera de la red le cobra más que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usted podría tener que pagar la diferencia. Por ejemplo, si un dentista fuera de la red cobra $1,500 por una corona y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es de $1,000, usted podría tener que pagar los $500 de diferencia. (Esto se llama </w:t>
                            </w:r>
                            <w:r>
                              <w:rPr>
                                <w:rFonts w:ascii="Garamond" w:eastAsia="Garamond" w:hAnsi="Garamond" w:cs="Garamond"/>
                                <w:b/>
                                <w:bCs/>
                                <w:color w:val="231F20"/>
                                <w:szCs w:val="24"/>
                                <w:lang w:val="es-US"/>
                              </w:rPr>
                              <w:t>cobro de saldo</w:t>
                            </w:r>
                            <w:r>
                              <w:rPr>
                                <w:rFonts w:ascii="Garamond" w:eastAsia="Garamond" w:hAnsi="Garamond" w:cs="Garamond"/>
                                <w:color w:val="231F20"/>
                                <w:szCs w:val="24"/>
                                <w:lang w:val="es-US"/>
                              </w:rPr>
                              <w:t>).</w:t>
                            </w:r>
                          </w:p>
                          <w:p w:rsidR="00CD0311" w:rsidRPr="000170C2" w:rsidRDefault="00CD0311" w:rsidP="00CD0311">
                            <w:pPr>
                              <w:tabs>
                                <w:tab w:val="left" w:pos="1680"/>
                              </w:tabs>
                              <w:spacing w:after="0" w:line="240" w:lineRule="auto"/>
                              <w:ind w:left="1325" w:right="-20"/>
                              <w:rPr>
                                <w:rFonts w:ascii="Garamond" w:eastAsia="Garamond" w:hAnsi="Garamond" w:cs="Garamond"/>
                                <w:szCs w:val="24"/>
                                <w:lang w:val="es-US"/>
                              </w:rPr>
                            </w:pPr>
                            <w:r>
                              <w:rPr>
                                <w:rFonts w:ascii="Garamond" w:eastAsia="Garamond" w:hAnsi="Garamond" w:cs="Garamond"/>
                                <w:color w:val="231F20"/>
                                <w:szCs w:val="24"/>
                                <w:lang w:val="es-US"/>
                              </w:rPr>
                              <w:t>•</w:t>
                            </w:r>
                            <w:r>
                              <w:rPr>
                                <w:rFonts w:ascii="Garamond" w:eastAsia="Garamond" w:hAnsi="Garamond" w:cs="Garamond"/>
                                <w:color w:val="231F20"/>
                                <w:szCs w:val="24"/>
                                <w:lang w:val="es-US"/>
                              </w:rPr>
                              <w:tab/>
                              <w:t xml:space="preserve">Este plan puede animarlo a utilizar </w:t>
                            </w:r>
                            <w:r>
                              <w:rPr>
                                <w:rFonts w:ascii="Garamond" w:eastAsia="Garamond" w:hAnsi="Garamond" w:cs="Garamond"/>
                                <w:b/>
                                <w:bCs/>
                                <w:color w:val="231F20"/>
                                <w:szCs w:val="24"/>
                                <w:lang w:val="es-US"/>
                              </w:rPr>
                              <w:t xml:space="preserve">proveedores </w:t>
                            </w:r>
                            <w:r>
                              <w:rPr>
                                <w:rFonts w:ascii="Garamond" w:eastAsia="Garamond" w:hAnsi="Garamond" w:cs="Garamond"/>
                                <w:color w:val="231F20"/>
                                <w:szCs w:val="24"/>
                                <w:lang w:val="es-US"/>
                              </w:rPr>
                              <w:t xml:space="preserve">dentro de la red cobrándole </w:t>
                            </w:r>
                            <w:r>
                              <w:rPr>
                                <w:rFonts w:ascii="Garamond" w:eastAsia="Garamond" w:hAnsi="Garamond" w:cs="Garamond"/>
                                <w:b/>
                                <w:bCs/>
                                <w:color w:val="231F20"/>
                                <w:szCs w:val="24"/>
                                <w:lang w:val="es-US"/>
                              </w:rPr>
                              <w:t>deducibles</w:t>
                            </w:r>
                            <w:r>
                              <w:rPr>
                                <w:rFonts w:ascii="Garamond" w:eastAsia="Garamond" w:hAnsi="Garamond" w:cs="Garamond"/>
                                <w:color w:val="231F20"/>
                                <w:szCs w:val="24"/>
                                <w:lang w:val="es-US"/>
                              </w:rPr>
                              <w:t>,</w:t>
                            </w:r>
                          </w:p>
                          <w:p w:rsidR="00CD0311" w:rsidRPr="000170C2" w:rsidRDefault="00CD0311" w:rsidP="00CD0311">
                            <w:pPr>
                              <w:spacing w:before="18" w:after="0" w:line="240" w:lineRule="auto"/>
                              <w:ind w:left="1685" w:right="-20"/>
                              <w:rPr>
                                <w:rFonts w:ascii="Garamond" w:eastAsia="Garamond" w:hAnsi="Garamond" w:cs="Garamond"/>
                                <w:szCs w:val="24"/>
                                <w:lang w:val="es-US"/>
                              </w:rPr>
                            </w:pPr>
                            <w:r>
                              <w:rPr>
                                <w:rFonts w:ascii="Garamond" w:eastAsia="Garamond" w:hAnsi="Garamond" w:cs="Garamond"/>
                                <w:b/>
                                <w:bCs/>
                                <w:color w:val="231F20"/>
                                <w:szCs w:val="24"/>
                                <w:lang w:val="es-US"/>
                              </w:rPr>
                              <w:t xml:space="preserve">copagos </w:t>
                            </w:r>
                            <w:r>
                              <w:rPr>
                                <w:rFonts w:ascii="Garamond" w:eastAsia="Garamond" w:hAnsi="Garamond" w:cs="Garamond"/>
                                <w:color w:val="231F20"/>
                                <w:szCs w:val="24"/>
                                <w:lang w:val="es-US"/>
                              </w:rPr>
                              <w:t xml:space="preserve">y </w:t>
                            </w:r>
                            <w:r>
                              <w:rPr>
                                <w:rFonts w:ascii="Garamond" w:eastAsia="Garamond" w:hAnsi="Garamond" w:cs="Garamond"/>
                                <w:b/>
                                <w:bCs/>
                                <w:color w:val="231F20"/>
                                <w:szCs w:val="24"/>
                                <w:lang w:val="es-US"/>
                              </w:rPr>
                              <w:t xml:space="preserve">coaseguros </w:t>
                            </w:r>
                            <w:r>
                              <w:rPr>
                                <w:rFonts w:ascii="Garamond" w:eastAsia="Garamond" w:hAnsi="Garamond" w:cs="Garamond"/>
                                <w:color w:val="231F20"/>
                                <w:szCs w:val="24"/>
                                <w:lang w:val="es-US"/>
                              </w:rPr>
                              <w:t>más bajos.</w:t>
                            </w:r>
                          </w:p>
                          <w:p w:rsidR="00CD0311" w:rsidRPr="000170C2" w:rsidRDefault="00CD0311">
                            <w:pPr>
                              <w:rPr>
                                <w:lang w:val="es-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1.5pt;width:578.6pt;height:171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" fillcolor="#00a4de" strokecolor="#17365d [2415]" strokeweight="2.25pt">
                <v:textbox>
                  <w:txbxContent>
                    <w:p w:rsidR="00CD0311" w:rsidRPr="000170C2" w:rsidRDefault="00CD0311" w:rsidP="00CD0311">
                      <w:pPr>
                        <w:tabs>
                          <w:tab w:val="left" w:pos="1680"/>
                        </w:tabs>
                        <w:spacing w:before="87" w:after="0" w:line="240" w:lineRule="auto"/>
                        <w:ind w:left="1680" w:right="-20" w:hanging="355"/>
                        <w:rPr>
                          <w:rFonts w:ascii="Garamond" w:eastAsia="Garamond" w:hAnsi="Garamond" w:cs="Garamond"/>
                          <w:szCs w:val="24"/>
                          <w:lang w:val="es-US"/>
                        </w:rPr>
                      </w:pPr>
                      <w:r>
                        <w:rPr>
                          <w:rFonts w:ascii="Garamond" w:eastAsia="Garamond" w:hAnsi="Garamond" w:cs="Garamond"/>
                          <w:b/>
                          <w:bCs/>
                          <w:color w:val="231F20"/>
                          <w:sz w:val="24"/>
                          <w:szCs w:val="24"/>
                          <w:lang w:val="es-US"/>
                        </w:rPr>
                        <w:t xml:space="preserve">• </w:t>
                      </w:r>
                      <w:r>
                        <w:rPr>
                          <w:rFonts w:ascii="Garamond" w:eastAsia="Garamond" w:hAnsi="Garamond" w:cs="Garamond"/>
                          <w:b/>
                          <w:bCs/>
                          <w:color w:val="231F20"/>
                          <w:sz w:val="24"/>
                          <w:szCs w:val="24"/>
                          <w:lang w:val="es-US"/>
                        </w:rPr>
                        <w:tab/>
                      </w:r>
                      <w:r>
                        <w:rPr>
                          <w:rFonts w:ascii="Garamond" w:eastAsia="Garamond" w:hAnsi="Garamond" w:cs="Garamond"/>
                          <w:b/>
                          <w:bCs/>
                          <w:color w:val="231F20"/>
                          <w:szCs w:val="24"/>
                          <w:lang w:val="es-US"/>
                        </w:rPr>
                        <w:t xml:space="preserve">Los copagos </w:t>
                      </w:r>
                      <w:r>
                        <w:rPr>
                          <w:rFonts w:ascii="Garamond" w:eastAsia="Garamond" w:hAnsi="Garamond" w:cs="Garamond"/>
                          <w:color w:val="231F20"/>
                          <w:szCs w:val="24"/>
                          <w:lang w:val="es-US"/>
                        </w:rPr>
                        <w:t>con cantidades fijas de dinero (por ejemplo, $15) que usted paga por los servicios dentales cubiertos, generalmente en el</w:t>
                      </w:r>
                      <w:r>
                        <w:rPr>
                          <w:rFonts w:ascii="Garamond" w:eastAsia="Garamond" w:hAnsi="Garamond" w:cs="Garamond"/>
                          <w:szCs w:val="24"/>
                          <w:lang w:val="es-US"/>
                        </w:rPr>
                        <w:t xml:space="preserve"> </w:t>
                      </w:r>
                      <w:r>
                        <w:rPr>
                          <w:rFonts w:ascii="Garamond" w:eastAsia="Garamond" w:hAnsi="Garamond" w:cs="Garamond"/>
                          <w:color w:val="231F20"/>
                          <w:szCs w:val="24"/>
                          <w:lang w:val="es-US"/>
                        </w:rPr>
                        <w:t>momento del servicio.</w:t>
                      </w:r>
                    </w:p>
                    <w:p w:rsidR="00CD0311" w:rsidRPr="000170C2" w:rsidRDefault="00CD0311" w:rsidP="00CD0311">
                      <w:pPr>
                        <w:tabs>
                          <w:tab w:val="left" w:pos="1680"/>
                        </w:tabs>
                        <w:spacing w:before="18" w:after="0" w:line="256" w:lineRule="auto"/>
                        <w:ind w:left="1685" w:right="172" w:hanging="360"/>
                        <w:rPr>
                          <w:rFonts w:ascii="Garamond" w:eastAsia="Garamond" w:hAnsi="Garamond" w:cs="Garamond"/>
                          <w:szCs w:val="24"/>
                          <w:lang w:val="es-US"/>
                        </w:rPr>
                      </w:pPr>
                      <w:r>
                        <w:rPr>
                          <w:rFonts w:ascii="Garamond" w:eastAsia="Garamond" w:hAnsi="Garamond" w:cs="Garamond"/>
                          <w:b/>
                          <w:bCs/>
                          <w:color w:val="231F20"/>
                          <w:szCs w:val="24"/>
                          <w:lang w:val="es-US"/>
                        </w:rPr>
                        <w:t xml:space="preserve">• </w:t>
                      </w:r>
                      <w:r>
                        <w:rPr>
                          <w:rFonts w:ascii="Garamond" w:eastAsia="Garamond" w:hAnsi="Garamond" w:cs="Garamond"/>
                          <w:b/>
                          <w:bCs/>
                          <w:color w:val="231F20"/>
                          <w:szCs w:val="24"/>
                          <w:lang w:val="es-US"/>
                        </w:rPr>
                        <w:tab/>
                        <w:t>El coaseguro</w:t>
                      </w:r>
                      <w:r>
                        <w:rPr>
                          <w:rFonts w:ascii="Garamond" w:eastAsia="Garamond" w:hAnsi="Garamond" w:cs="Garamond"/>
                          <w:color w:val="231F20"/>
                          <w:szCs w:val="24"/>
                          <w:lang w:val="es-US"/>
                        </w:rPr>
                        <w:t xml:space="preserve">, que es diferente de los copagos, es </w:t>
                      </w:r>
                      <w:r>
                        <w:rPr>
                          <w:rFonts w:ascii="Garamond" w:eastAsia="Garamond" w:hAnsi="Garamond" w:cs="Garamond"/>
                          <w:i/>
                          <w:iCs/>
                          <w:color w:val="231F20"/>
                          <w:szCs w:val="24"/>
                          <w:lang w:val="es-US"/>
                        </w:rPr>
                        <w:t xml:space="preserve">su </w:t>
                      </w:r>
                      <w:r>
                        <w:rPr>
                          <w:rFonts w:ascii="Garamond" w:eastAsia="Garamond" w:hAnsi="Garamond" w:cs="Garamond"/>
                          <w:color w:val="231F20"/>
                          <w:szCs w:val="24"/>
                          <w:lang w:val="es-US"/>
                        </w:rPr>
                        <w:t xml:space="preserve">parte del costo de un servicio cubierto, calculado como un porcentaje del </w:t>
                      </w:r>
                      <w:r>
                        <w:rPr>
                          <w:rFonts w:ascii="Garamond" w:eastAsia="Garamond" w:hAnsi="Garamond" w:cs="Garamond"/>
                          <w:b/>
                          <w:bCs/>
                          <w:color w:val="231F20"/>
                          <w:szCs w:val="24"/>
                          <w:lang w:val="es-US"/>
                        </w:rPr>
                        <w:t xml:space="preserve">monto permitido </w:t>
                      </w:r>
                      <w:r>
                        <w:rPr>
                          <w:rFonts w:ascii="Garamond" w:eastAsia="Garamond" w:hAnsi="Garamond" w:cs="Garamond"/>
                          <w:color w:val="231F20"/>
                          <w:szCs w:val="24"/>
                          <w:lang w:val="es-US"/>
                        </w:rPr>
                        <w:t xml:space="preserve">para el servicio. Por ejemplo, su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del plan es un procedimiento de restauración (por ejemplo, una corona) es de $1,000, su pago de </w:t>
                      </w:r>
                      <w:r>
                        <w:rPr>
                          <w:rFonts w:ascii="Garamond" w:eastAsia="Garamond" w:hAnsi="Garamond" w:cs="Garamond"/>
                          <w:b/>
                          <w:bCs/>
                          <w:color w:val="231F20"/>
                          <w:szCs w:val="24"/>
                          <w:lang w:val="es-US"/>
                        </w:rPr>
                        <w:t xml:space="preserve">coaseguro </w:t>
                      </w:r>
                      <w:r>
                        <w:rPr>
                          <w:rFonts w:ascii="Garamond" w:eastAsia="Garamond" w:hAnsi="Garamond" w:cs="Garamond"/>
                          <w:color w:val="231F20"/>
                          <w:szCs w:val="24"/>
                          <w:lang w:val="es-US"/>
                        </w:rPr>
                        <w:t xml:space="preserve">del 20% sería de $200.  Esto podría cambiar si aún no ha cubierto su </w:t>
                      </w:r>
                      <w:r>
                        <w:rPr>
                          <w:rFonts w:ascii="Garamond" w:eastAsia="Garamond" w:hAnsi="Garamond" w:cs="Garamond"/>
                          <w:b/>
                          <w:bCs/>
                          <w:color w:val="231F20"/>
                          <w:szCs w:val="24"/>
                          <w:lang w:val="es-US"/>
                        </w:rPr>
                        <w:t>deducible</w:t>
                      </w:r>
                      <w:r>
                        <w:rPr>
                          <w:rFonts w:ascii="Garamond" w:eastAsia="Garamond" w:hAnsi="Garamond" w:cs="Garamond"/>
                          <w:color w:val="231F20"/>
                          <w:szCs w:val="24"/>
                          <w:lang w:val="es-US"/>
                        </w:rPr>
                        <w:t>.</w:t>
                      </w:r>
                    </w:p>
                    <w:p w:rsidR="00CD0311" w:rsidRPr="000170C2" w:rsidRDefault="00CD0311" w:rsidP="00CD0311">
                      <w:pPr>
                        <w:tabs>
                          <w:tab w:val="left" w:pos="1680"/>
                        </w:tabs>
                        <w:spacing w:after="0" w:line="256" w:lineRule="auto"/>
                        <w:ind w:left="1685" w:right="148" w:hanging="360"/>
                        <w:rPr>
                          <w:rFonts w:ascii="Garamond" w:eastAsia="Garamond" w:hAnsi="Garamond" w:cs="Garamond"/>
                          <w:szCs w:val="24"/>
                          <w:lang w:val="es-US"/>
                        </w:rPr>
                      </w:pPr>
                      <w:r>
                        <w:rPr>
                          <w:rFonts w:ascii="Garamond" w:eastAsia="Garamond" w:hAnsi="Garamond" w:cs="Garamond"/>
                          <w:color w:val="231F20"/>
                          <w:szCs w:val="24"/>
                          <w:lang w:val="es-US"/>
                        </w:rPr>
                        <w:t>•</w:t>
                      </w:r>
                      <w:r>
                        <w:rPr>
                          <w:rFonts w:ascii="Garamond" w:eastAsia="Garamond" w:hAnsi="Garamond" w:cs="Garamond"/>
                          <w:color w:val="231F20"/>
                          <w:szCs w:val="24"/>
                          <w:lang w:val="es-US"/>
                        </w:rPr>
                        <w:tab/>
                        <w:t xml:space="preserve">El monto que paga el plan por los servicios cubiertos se basa en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Si un </w:t>
                      </w:r>
                      <w:r>
                        <w:rPr>
                          <w:rFonts w:ascii="Garamond" w:eastAsia="Garamond" w:hAnsi="Garamond" w:cs="Garamond"/>
                          <w:b/>
                          <w:bCs/>
                          <w:color w:val="231F20"/>
                          <w:szCs w:val="24"/>
                          <w:lang w:val="es-US"/>
                        </w:rPr>
                        <w:t>proveedor</w:t>
                      </w:r>
                      <w:r>
                        <w:rPr>
                          <w:rFonts w:ascii="Garamond" w:eastAsia="Garamond" w:hAnsi="Garamond" w:cs="Garamond"/>
                          <w:color w:val="231F20"/>
                          <w:szCs w:val="24"/>
                          <w:lang w:val="es-US"/>
                        </w:rPr>
                        <w:t xml:space="preserve"> fuera de la red le cobra más que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usted podría tener que pagar la diferencia. Por ejemplo, si un dentista fuera de la red cobra $1,500 por una corona y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es de $1,000, usted podría tener que pagar los $500 de diferencia. (Esto se llama </w:t>
                      </w:r>
                      <w:r>
                        <w:rPr>
                          <w:rFonts w:ascii="Garamond" w:eastAsia="Garamond" w:hAnsi="Garamond" w:cs="Garamond"/>
                          <w:b/>
                          <w:bCs/>
                          <w:color w:val="231F20"/>
                          <w:szCs w:val="24"/>
                          <w:lang w:val="es-US"/>
                        </w:rPr>
                        <w:t>cobro de saldo</w:t>
                      </w:r>
                      <w:r>
                        <w:rPr>
                          <w:rFonts w:ascii="Garamond" w:eastAsia="Garamond" w:hAnsi="Garamond" w:cs="Garamond"/>
                          <w:color w:val="231F20"/>
                          <w:szCs w:val="24"/>
                          <w:lang w:val="es-US"/>
                        </w:rPr>
                        <w:t>).</w:t>
                      </w:r>
                    </w:p>
                    <w:p w:rsidR="00CD0311" w:rsidRPr="000170C2" w:rsidRDefault="00CD0311" w:rsidP="00CD0311">
                      <w:pPr>
                        <w:tabs>
                          <w:tab w:val="left" w:pos="1680"/>
                        </w:tabs>
                        <w:spacing w:after="0" w:line="240" w:lineRule="auto"/>
                        <w:ind w:left="1325" w:right="-20"/>
                        <w:rPr>
                          <w:rFonts w:ascii="Garamond" w:eastAsia="Garamond" w:hAnsi="Garamond" w:cs="Garamond"/>
                          <w:szCs w:val="24"/>
                          <w:lang w:val="es-US"/>
                        </w:rPr>
                      </w:pPr>
                      <w:r>
                        <w:rPr>
                          <w:rFonts w:ascii="Garamond" w:eastAsia="Garamond" w:hAnsi="Garamond" w:cs="Garamond"/>
                          <w:color w:val="231F20"/>
                          <w:szCs w:val="24"/>
                          <w:lang w:val="es-US"/>
                        </w:rPr>
                        <w:t>•</w:t>
                      </w:r>
                      <w:r>
                        <w:rPr>
                          <w:rFonts w:ascii="Garamond" w:eastAsia="Garamond" w:hAnsi="Garamond" w:cs="Garamond"/>
                          <w:color w:val="231F20"/>
                          <w:szCs w:val="24"/>
                          <w:lang w:val="es-US"/>
                        </w:rPr>
                        <w:tab/>
                        <w:t xml:space="preserve">Este plan puede animarlo a utilizar </w:t>
                      </w:r>
                      <w:r>
                        <w:rPr>
                          <w:rFonts w:ascii="Garamond" w:eastAsia="Garamond" w:hAnsi="Garamond" w:cs="Garamond"/>
                          <w:b/>
                          <w:bCs/>
                          <w:color w:val="231F20"/>
                          <w:szCs w:val="24"/>
                          <w:lang w:val="es-US"/>
                        </w:rPr>
                        <w:t xml:space="preserve">proveedores </w:t>
                      </w:r>
                      <w:r>
                        <w:rPr>
                          <w:rFonts w:ascii="Garamond" w:eastAsia="Garamond" w:hAnsi="Garamond" w:cs="Garamond"/>
                          <w:color w:val="231F20"/>
                          <w:szCs w:val="24"/>
                          <w:lang w:val="es-US"/>
                        </w:rPr>
                        <w:t xml:space="preserve">dentro de la red cobrándole </w:t>
                      </w:r>
                      <w:r>
                        <w:rPr>
                          <w:rFonts w:ascii="Garamond" w:eastAsia="Garamond" w:hAnsi="Garamond" w:cs="Garamond"/>
                          <w:b/>
                          <w:bCs/>
                          <w:color w:val="231F20"/>
                          <w:szCs w:val="24"/>
                          <w:lang w:val="es-US"/>
                        </w:rPr>
                        <w:t>deducibles</w:t>
                      </w:r>
                      <w:r>
                        <w:rPr>
                          <w:rFonts w:ascii="Garamond" w:eastAsia="Garamond" w:hAnsi="Garamond" w:cs="Garamond"/>
                          <w:color w:val="231F20"/>
                          <w:szCs w:val="24"/>
                          <w:lang w:val="es-US"/>
                        </w:rPr>
                        <w:t>,</w:t>
                      </w:r>
                    </w:p>
                    <w:p w:rsidR="00CD0311" w:rsidRPr="000170C2" w:rsidRDefault="00CD0311" w:rsidP="00CD0311">
                      <w:pPr>
                        <w:spacing w:before="18" w:after="0" w:line="240" w:lineRule="auto"/>
                        <w:ind w:left="1685" w:right="-20"/>
                        <w:rPr>
                          <w:rFonts w:ascii="Garamond" w:eastAsia="Garamond" w:hAnsi="Garamond" w:cs="Garamond"/>
                          <w:szCs w:val="24"/>
                          <w:lang w:val="es-US"/>
                        </w:rPr>
                      </w:pPr>
                      <w:r>
                        <w:rPr>
                          <w:rFonts w:ascii="Garamond" w:eastAsia="Garamond" w:hAnsi="Garamond" w:cs="Garamond"/>
                          <w:b/>
                          <w:bCs/>
                          <w:color w:val="231F20"/>
                          <w:szCs w:val="24"/>
                          <w:lang w:val="es-US"/>
                        </w:rPr>
                        <w:t xml:space="preserve">copagos </w:t>
                      </w:r>
                      <w:r>
                        <w:rPr>
                          <w:rFonts w:ascii="Garamond" w:eastAsia="Garamond" w:hAnsi="Garamond" w:cs="Garamond"/>
                          <w:color w:val="231F20"/>
                          <w:szCs w:val="24"/>
                          <w:lang w:val="es-US"/>
                        </w:rPr>
                        <w:t xml:space="preserve">y </w:t>
                      </w:r>
                      <w:r>
                        <w:rPr>
                          <w:rFonts w:ascii="Garamond" w:eastAsia="Garamond" w:hAnsi="Garamond" w:cs="Garamond"/>
                          <w:b/>
                          <w:bCs/>
                          <w:color w:val="231F20"/>
                          <w:szCs w:val="24"/>
                          <w:lang w:val="es-US"/>
                        </w:rPr>
                        <w:t xml:space="preserve">coaseguros </w:t>
                      </w:r>
                      <w:r>
                        <w:rPr>
                          <w:rFonts w:ascii="Garamond" w:eastAsia="Garamond" w:hAnsi="Garamond" w:cs="Garamond"/>
                          <w:color w:val="231F20"/>
                          <w:szCs w:val="24"/>
                          <w:lang w:val="es-US"/>
                        </w:rPr>
                        <w:t>más bajos.</w:t>
                      </w:r>
                    </w:p>
                    <w:p w:rsidR="00CD0311" w:rsidRPr="000170C2" w:rsidRDefault="00CD0311">
                      <w:pPr>
                        <w:rPr>
                          <w:lang w:val="es-US"/>
                        </w:rPr>
                      </w:pPr>
                    </w:p>
                  </w:txbxContent>
                </v:textbox>
                <w10:wrap type="square"/>
              </v:shape>
            </w:pict>
          </mc:Fallback>
        </mc:AlternateContent>
      </w:r>
      <w:r w:rsidR="00720D19">
        <w:rPr>
          <w:rFonts w:ascii="Garamond" w:hAnsi="Garamond"/>
          <w:b/>
          <w:bCs/>
          <w:noProof/>
          <w:color w:val="231F20"/>
          <w:sz w:val="24"/>
          <w:szCs w:val="24"/>
          <w:u w:val="single"/>
        </w:rPr>
        <w:drawing>
          <wp:anchor distT="0" distB="0" distL="114300" distR="114300" simplePos="0" relativeHeight="251737600" behindDoc="1" locked="0" layoutInCell="1" allowOverlap="1">
            <wp:simplePos x="0" y="0"/>
            <wp:positionH relativeFrom="column">
              <wp:posOffset>236088</wp:posOffset>
            </wp:positionH>
            <wp:positionV relativeFrom="paragraph">
              <wp:posOffset>173858</wp:posOffset>
            </wp:positionV>
            <wp:extent cx="544599" cy="512064"/>
            <wp:effectExtent l="0" t="0" r="8255" b="2540"/>
            <wp:wrapTight wrapText="bothSides">
              <wp:wrapPolygon edited="0">
                <wp:start x="8317" y="0"/>
                <wp:lineTo x="756" y="14471"/>
                <wp:lineTo x="0" y="18491"/>
                <wp:lineTo x="0" y="20903"/>
                <wp:lineTo x="21172" y="20903"/>
                <wp:lineTo x="21172" y="18491"/>
                <wp:lineTo x="20415" y="14471"/>
                <wp:lineTo x="12854" y="0"/>
                <wp:lineTo x="8317" y="0"/>
              </wp:wrapPolygon>
            </wp:wrapTight>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Untitled-1-01.png"/>
                    <pic:cNvPicPr/>
                  </pic:nvPicPr>
                  <pic:blipFill>
                    <a:blip r:embed="rId7">
                      <a:extLst>
                        <a:ext uri="{28A0092B-C50C-407E-A947-70E740481C1C}">
                          <a14:useLocalDpi xmlns:a14="http://schemas.microsoft.com/office/drawing/2010/main" val="0"/>
                        </a:ext>
                      </a:extLst>
                    </a:blip>
                    <a:stretch>
                      <a:fillRect/>
                    </a:stretch>
                  </pic:blipFill>
                  <pic:spPr>
                    <a:xfrm>
                      <a:off x="0" y="0"/>
                      <a:ext cx="544599" cy="512064"/>
                    </a:xfrm>
                    <a:prstGeom prst="rect">
                      <a:avLst/>
                    </a:prstGeom>
                  </pic:spPr>
                </pic:pic>
              </a:graphicData>
            </a:graphic>
          </wp:anchor>
        </w:drawing>
      </w:r>
    </w:p>
    <w:tbl>
      <w:tblPr>
        <w:tblW w:w="0" w:type="auto"/>
        <w:tblInd w:w="157"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435"/>
        <w:gridCol w:w="2065"/>
        <w:gridCol w:w="2430"/>
        <w:gridCol w:w="2610"/>
        <w:gridCol w:w="1937"/>
      </w:tblGrid>
      <w:tr w:rsidR="004C7ECA" w:rsidRPr="006375E8" w:rsidTr="00471ADC">
        <w:trPr>
          <w:trHeight w:val="397"/>
        </w:trPr>
        <w:tc>
          <w:tcPr>
            <w:tcW w:w="2435" w:type="dxa"/>
            <w:shd w:val="clear" w:color="auto" w:fill="00A4DE"/>
            <w:hideMark/>
          </w:tcPr>
          <w:p w:rsidR="004C7ECA" w:rsidRPr="00BF4E99" w:rsidRDefault="004C7ECA" w:rsidP="00042C51">
            <w:pPr>
              <w:widowControl/>
              <w:spacing w:after="0" w:line="240" w:lineRule="auto"/>
              <w:rPr>
                <w:rFonts w:ascii="Arial" w:eastAsia="Times New Roman" w:hAnsi="Arial" w:cs="Arial"/>
                <w:b/>
                <w:color w:val="FFFFFF" w:themeColor="background1"/>
              </w:rPr>
            </w:pPr>
            <w:r>
              <w:rPr>
                <w:rFonts w:ascii="Arial" w:eastAsia="Times New Roman" w:hAnsi="Arial" w:cs="Arial"/>
                <w:b/>
                <w:bCs/>
                <w:color w:val="FFFFFF" w:themeColor="background1"/>
                <w:lang w:val="es-US"/>
              </w:rPr>
              <w:t>Tratamiento dental</w:t>
            </w:r>
          </w:p>
        </w:tc>
        <w:tc>
          <w:tcPr>
            <w:tcW w:w="2065" w:type="dxa"/>
            <w:tcBorders>
              <w:bottom w:val="single" w:sz="18" w:space="0" w:color="17365D" w:themeColor="text2" w:themeShade="BF"/>
            </w:tcBorders>
            <w:shd w:val="clear" w:color="auto" w:fill="00A4DE"/>
            <w:hideMark/>
          </w:tcPr>
          <w:p w:rsidR="004C7ECA" w:rsidRPr="000170C2" w:rsidRDefault="004C7ECA" w:rsidP="004C7ECA">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Servicios que usted podría necesitar</w:t>
            </w:r>
          </w:p>
        </w:tc>
        <w:tc>
          <w:tcPr>
            <w:tcW w:w="2430" w:type="dxa"/>
            <w:tcBorders>
              <w:bottom w:val="single" w:sz="18" w:space="0" w:color="17365D" w:themeColor="text2" w:themeShade="BF"/>
            </w:tcBorders>
            <w:shd w:val="clear" w:color="auto" w:fill="00A4DE"/>
          </w:tcPr>
          <w:p w:rsidR="004C7ECA" w:rsidRPr="000170C2" w:rsidRDefault="004C7ECA" w:rsidP="004C7ECA">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Su costo si utiliza un proveedor dentro de la red</w:t>
            </w:r>
          </w:p>
        </w:tc>
        <w:tc>
          <w:tcPr>
            <w:tcW w:w="2610" w:type="dxa"/>
            <w:tcBorders>
              <w:bottom w:val="single" w:sz="18" w:space="0" w:color="17365D" w:themeColor="text2" w:themeShade="BF"/>
            </w:tcBorders>
            <w:shd w:val="clear" w:color="auto" w:fill="00A4DE"/>
            <w:hideMark/>
          </w:tcPr>
          <w:p w:rsidR="004C7ECA" w:rsidRPr="000170C2" w:rsidRDefault="004C7ECA" w:rsidP="004C7ECA">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Su costo si utiliza un proveedor fuera de la red</w:t>
            </w:r>
          </w:p>
        </w:tc>
        <w:tc>
          <w:tcPr>
            <w:tcW w:w="1937" w:type="dxa"/>
            <w:tcBorders>
              <w:bottom w:val="single" w:sz="18" w:space="0" w:color="17365D" w:themeColor="text2" w:themeShade="BF"/>
            </w:tcBorders>
            <w:shd w:val="clear" w:color="auto" w:fill="00A4DE"/>
            <w:hideMark/>
          </w:tcPr>
          <w:p w:rsidR="004C7ECA" w:rsidRPr="00BF4E99" w:rsidRDefault="004C7ECA" w:rsidP="004C7ECA">
            <w:pPr>
              <w:widowControl/>
              <w:spacing w:after="0" w:line="240" w:lineRule="auto"/>
              <w:jc w:val="center"/>
              <w:rPr>
                <w:rFonts w:ascii="Arial" w:eastAsia="Times New Roman" w:hAnsi="Arial" w:cs="Arial"/>
                <w:b/>
                <w:color w:val="FFFFFF" w:themeColor="background1"/>
              </w:rPr>
            </w:pPr>
            <w:r>
              <w:rPr>
                <w:rFonts w:ascii="Arial" w:eastAsia="Times New Roman" w:hAnsi="Arial" w:cs="Arial"/>
                <w:b/>
                <w:bCs/>
                <w:color w:val="FFFFFF" w:themeColor="background1"/>
                <w:lang w:val="es-US"/>
              </w:rPr>
              <w:t>Limitaciones y excepciones</w:t>
            </w:r>
          </w:p>
        </w:tc>
      </w:tr>
      <w:tr w:rsidR="004C7ECA" w:rsidRPr="006375E8" w:rsidTr="00471ADC">
        <w:trPr>
          <w:trHeight w:val="432"/>
        </w:trPr>
        <w:tc>
          <w:tcPr>
            <w:tcW w:w="2435" w:type="dxa"/>
            <w:vMerge w:val="restart"/>
            <w:shd w:val="clear" w:color="auto" w:fill="auto"/>
            <w:noWrap/>
            <w:hideMark/>
          </w:tcPr>
          <w:p w:rsidR="004C7ECA" w:rsidRPr="002D3D19" w:rsidRDefault="004C7ECA" w:rsidP="002D3D19">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Chequeo de rutina</w:t>
            </w:r>
          </w:p>
          <w:p w:rsidR="004C7ECA" w:rsidRPr="009A419B" w:rsidRDefault="004C7ECA" w:rsidP="009A419B">
            <w:pPr>
              <w:widowControl/>
              <w:spacing w:after="0" w:line="240" w:lineRule="auto"/>
              <w:rPr>
                <w:rFonts w:ascii="Garamond" w:eastAsia="Times New Roman" w:hAnsi="Garamond" w:cs="Times New Roman"/>
                <w:b/>
                <w:color w:val="000000"/>
              </w:rPr>
            </w:pPr>
          </w:p>
        </w:tc>
        <w:tc>
          <w:tcPr>
            <w:tcW w:w="2065" w:type="dxa"/>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Exámenes</w:t>
            </w:r>
          </w:p>
        </w:tc>
        <w:tc>
          <w:tcPr>
            <w:tcW w:w="2430" w:type="dxa"/>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Limpiezas</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Fluoruro</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Selladores</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Radiografías</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Óxido nitroso</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restart"/>
            <w:shd w:val="clear" w:color="auto" w:fill="auto"/>
            <w:noWrap/>
            <w:hideMark/>
          </w:tcPr>
          <w:p w:rsidR="004C7ECA" w:rsidRPr="002D3D19" w:rsidRDefault="004C7ECA" w:rsidP="002D3D19">
            <w:pPr>
              <w:widowControl/>
              <w:spacing w:after="0" w:line="240" w:lineRule="auto"/>
              <w:rPr>
                <w:rFonts w:ascii="Garamond" w:eastAsia="Times New Roman" w:hAnsi="Garamond" w:cs="Times New Roman"/>
                <w:color w:val="000000"/>
              </w:rPr>
            </w:pPr>
            <w:r>
              <w:rPr>
                <w:rFonts w:ascii="Garamond" w:eastAsia="Times New Roman" w:hAnsi="Garamond" w:cs="Times New Roman"/>
                <w:b/>
                <w:bCs/>
                <w:color w:val="000000"/>
                <w:lang w:val="es-US"/>
              </w:rPr>
              <w:t>Rellenar una caries</w:t>
            </w:r>
          </w:p>
          <w:p w:rsidR="004C7ECA" w:rsidRPr="002D3D19" w:rsidRDefault="004C7ECA" w:rsidP="009A419B">
            <w:pPr>
              <w:widowControl/>
              <w:spacing w:after="0" w:line="240" w:lineRule="auto"/>
              <w:rPr>
                <w:rFonts w:ascii="Garamond" w:eastAsia="Times New Roman" w:hAnsi="Garamond" w:cs="Times New Roman"/>
                <w:color w:val="000000"/>
              </w:rPr>
            </w:pPr>
          </w:p>
        </w:tc>
        <w:tc>
          <w:tcPr>
            <w:tcW w:w="2065" w:type="dxa"/>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Amalgama</w:t>
            </w:r>
          </w:p>
        </w:tc>
        <w:tc>
          <w:tcPr>
            <w:tcW w:w="2430" w:type="dxa"/>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Compuesto</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Óxido nitroso</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210ACF">
        <w:trPr>
          <w:trHeight w:val="432"/>
        </w:trPr>
        <w:tc>
          <w:tcPr>
            <w:tcW w:w="2435" w:type="dxa"/>
            <w:vMerge w:val="restart"/>
            <w:shd w:val="clear" w:color="auto" w:fill="auto"/>
            <w:noWrap/>
            <w:hideMark/>
          </w:tcPr>
          <w:p w:rsidR="004C7ECA" w:rsidRPr="002D3D19" w:rsidRDefault="004C7ECA" w:rsidP="002D3D19">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Cuidado de restauración</w:t>
            </w:r>
          </w:p>
          <w:p w:rsidR="004C7ECA" w:rsidRPr="009A419B" w:rsidRDefault="004C7ECA" w:rsidP="009A419B">
            <w:pPr>
              <w:widowControl/>
              <w:spacing w:after="0" w:line="240" w:lineRule="auto"/>
              <w:rPr>
                <w:rFonts w:ascii="Garamond" w:eastAsia="Times New Roman" w:hAnsi="Garamond" w:cs="Times New Roman"/>
                <w:b/>
                <w:color w:val="000000"/>
              </w:rPr>
            </w:pPr>
          </w:p>
        </w:tc>
        <w:tc>
          <w:tcPr>
            <w:tcW w:w="2065" w:type="dxa"/>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Tratamiento de encías</w:t>
            </w:r>
          </w:p>
        </w:tc>
        <w:tc>
          <w:tcPr>
            <w:tcW w:w="2430" w:type="dxa"/>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bottom w:val="single" w:sz="12" w:space="0" w:color="auto"/>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r>
      <w:tr w:rsidR="004C7ECA" w:rsidRPr="006375E8" w:rsidTr="00210ACF">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Coronas</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auto"/>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Endodoncia</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Reemplazo de dientes</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rsidTr="00471ADC">
        <w:trPr>
          <w:trHeight w:val="432"/>
        </w:trPr>
        <w:tc>
          <w:tcPr>
            <w:tcW w:w="2435" w:type="dxa"/>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Extracción de dientes</w:t>
            </w:r>
          </w:p>
        </w:tc>
        <w:tc>
          <w:tcPr>
            <w:tcW w:w="2065" w:type="dxa"/>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Extracción</w:t>
            </w:r>
          </w:p>
        </w:tc>
        <w:tc>
          <w:tcPr>
            <w:tcW w:w="2430" w:type="dxa"/>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r>
      <w:tr w:rsidR="004C7ECA" w:rsidRPr="006375E8" w:rsidTr="00471ADC">
        <w:trPr>
          <w:trHeight w:val="432"/>
        </w:trPr>
        <w:tc>
          <w:tcPr>
            <w:tcW w:w="2435" w:type="dxa"/>
            <w:shd w:val="clear" w:color="auto" w:fill="auto"/>
            <w:noWrap/>
            <w:hideMark/>
          </w:tcPr>
          <w:p w:rsidR="004C7ECA" w:rsidRPr="009A419B" w:rsidRDefault="004C7ECA"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Cirugía bucal avanzada</w:t>
            </w:r>
          </w:p>
        </w:tc>
        <w:tc>
          <w:tcPr>
            <w:tcW w:w="2065" w:type="dxa"/>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Cirugía bucal</w:t>
            </w:r>
          </w:p>
        </w:tc>
        <w:tc>
          <w:tcPr>
            <w:tcW w:w="2430" w:type="dxa"/>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r>
      <w:tr w:rsidR="004C7ECA" w:rsidRPr="006375E8" w:rsidTr="00471ADC">
        <w:trPr>
          <w:trHeight w:val="432"/>
        </w:trPr>
        <w:tc>
          <w:tcPr>
            <w:tcW w:w="2435" w:type="dxa"/>
            <w:vMerge w:val="restart"/>
            <w:shd w:val="clear" w:color="auto" w:fill="auto"/>
            <w:hideMark/>
          </w:tcPr>
          <w:p w:rsidR="004C7ECA" w:rsidRPr="009A419B" w:rsidRDefault="004C7ECA"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Ortodoncia médicamente necesaria</w:t>
            </w:r>
          </w:p>
        </w:tc>
        <w:tc>
          <w:tcPr>
            <w:tcW w:w="2065" w:type="dxa"/>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Frenos</w:t>
            </w:r>
          </w:p>
        </w:tc>
        <w:tc>
          <w:tcPr>
            <w:tcW w:w="2430" w:type="dxa"/>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r>
      <w:tr w:rsidR="004C7ECA" w:rsidRPr="006375E8" w:rsidTr="00471ADC">
        <w:trPr>
          <w:trHeight w:val="172"/>
        </w:trPr>
        <w:tc>
          <w:tcPr>
            <w:tcW w:w="2435" w:type="dxa"/>
            <w:vMerge/>
            <w:vAlign w:val="center"/>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Dispositivos removibles</w:t>
            </w:r>
          </w:p>
        </w:tc>
        <w:tc>
          <w:tcPr>
            <w:tcW w:w="2430" w:type="dxa"/>
            <w:tcBorders>
              <w:top w:val="single" w:sz="12" w:space="0" w:color="17365D" w:themeColor="text2" w:themeShade="BF"/>
            </w:tcBorders>
          </w:tcPr>
          <w:p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tcBorders>
              <w:top w:val="single" w:sz="12" w:space="0" w:color="17365D" w:themeColor="text2" w:themeShade="BF"/>
            </w:tcBorders>
            <w:shd w:val="clear" w:color="auto" w:fill="auto"/>
            <w:noWrap/>
            <w:vAlign w:val="bottom"/>
            <w:hideMark/>
          </w:tcPr>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p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bl>
    <w:p w:rsidR="004C7ECA" w:rsidRDefault="004C7ECA" w:rsidP="00F40B1F">
      <w:pPr>
        <w:spacing w:after="0" w:line="240" w:lineRule="auto"/>
        <w:rPr>
          <w:rFonts w:ascii="Arial" w:hAnsi="Arial" w:cs="Arial"/>
          <w:b/>
          <w:color w:val="00A4DE"/>
          <w:sz w:val="28"/>
          <w:szCs w:val="28"/>
        </w:rPr>
      </w:pPr>
    </w:p>
    <w:p w:rsidR="004C7ECA" w:rsidRDefault="004C7ECA" w:rsidP="00F40B1F">
      <w:pPr>
        <w:spacing w:after="0" w:line="240" w:lineRule="auto"/>
        <w:rPr>
          <w:rFonts w:ascii="Arial" w:hAnsi="Arial" w:cs="Arial"/>
          <w:b/>
          <w:color w:val="00A4DE"/>
          <w:sz w:val="28"/>
          <w:szCs w:val="28"/>
        </w:rPr>
      </w:pPr>
    </w:p>
    <w:p w:rsidR="004C7ECA" w:rsidRDefault="004C7ECA" w:rsidP="00F40B1F">
      <w:pPr>
        <w:spacing w:after="0" w:line="240" w:lineRule="auto"/>
        <w:rPr>
          <w:rFonts w:ascii="Arial" w:hAnsi="Arial" w:cs="Arial"/>
          <w:b/>
          <w:color w:val="00A4DE"/>
          <w:sz w:val="28"/>
          <w:szCs w:val="28"/>
        </w:rPr>
      </w:pPr>
    </w:p>
    <w:p w:rsidR="004C7ECA" w:rsidRDefault="004C7ECA" w:rsidP="00F40B1F">
      <w:pPr>
        <w:spacing w:after="0" w:line="240" w:lineRule="auto"/>
        <w:rPr>
          <w:rFonts w:ascii="Arial" w:hAnsi="Arial" w:cs="Arial"/>
          <w:b/>
          <w:color w:val="00A4DE"/>
          <w:sz w:val="28"/>
          <w:szCs w:val="28"/>
        </w:rPr>
      </w:pPr>
    </w:p>
    <w:p w:rsidR="00F40B1F" w:rsidRPr="000170C2" w:rsidRDefault="00F40B1F" w:rsidP="00F40B1F">
      <w:pPr>
        <w:spacing w:after="0" w:line="240" w:lineRule="auto"/>
        <w:rPr>
          <w:rFonts w:ascii="Arial" w:hAnsi="Arial" w:cs="Arial"/>
          <w:b/>
          <w:color w:val="00A4DE"/>
          <w:sz w:val="28"/>
          <w:szCs w:val="28"/>
          <w:lang w:val="es-US"/>
        </w:rPr>
      </w:pPr>
      <w:r>
        <w:rPr>
          <w:rFonts w:ascii="Arial" w:hAnsi="Arial" w:cs="Arial"/>
          <w:b/>
          <w:bCs/>
          <w:color w:val="00A4DE"/>
          <w:sz w:val="28"/>
          <w:szCs w:val="28"/>
          <w:lang w:val="es-US"/>
        </w:rPr>
        <w:t>Servicios excluidos y otros servicios cubiertos</w:t>
      </w:r>
    </w:p>
    <w:p w:rsidR="00F40B1F" w:rsidRPr="000170C2" w:rsidRDefault="00F40B1F" w:rsidP="00F40B1F">
      <w:pPr>
        <w:spacing w:after="0" w:line="240" w:lineRule="auto"/>
        <w:rPr>
          <w:rFonts w:ascii="Arial" w:hAnsi="Arial" w:cs="Arial"/>
          <w:b/>
          <w:color w:val="00A4DE"/>
          <w:sz w:val="28"/>
          <w:szCs w:val="28"/>
          <w:lang w:val="es-US"/>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80"/>
      </w:tblGrid>
      <w:tr w:rsidR="00F40B1F" w:rsidRPr="000170C2" w:rsidTr="00F40B1F">
        <w:tc>
          <w:tcPr>
            <w:tcW w:w="11680" w:type="dxa"/>
            <w:shd w:val="clear" w:color="auto" w:fill="00A4DE"/>
          </w:tcPr>
          <w:p w:rsidR="00F40B1F" w:rsidRPr="000170C2" w:rsidRDefault="00F40B1F" w:rsidP="00F40B1F">
            <w:pPr>
              <w:rPr>
                <w:rFonts w:ascii="Arial" w:hAnsi="Arial" w:cs="Arial"/>
                <w:b/>
                <w:color w:val="00A4DE"/>
                <w:sz w:val="28"/>
                <w:szCs w:val="28"/>
                <w:lang w:val="es-US"/>
              </w:rPr>
            </w:pPr>
            <w:r>
              <w:rPr>
                <w:rFonts w:ascii="Arial" w:hAnsi="Arial" w:cs="Arial"/>
                <w:b/>
                <w:bCs/>
                <w:sz w:val="24"/>
                <w:szCs w:val="28"/>
                <w:lang w:val="es-US"/>
              </w:rPr>
              <w:t xml:space="preserve">Servicios que este plan NO cubre </w:t>
            </w:r>
            <w:r>
              <w:rPr>
                <w:rFonts w:ascii="Garamond" w:hAnsi="Garamond" w:cs="Arial"/>
                <w:b/>
                <w:bCs/>
                <w:sz w:val="24"/>
                <w:szCs w:val="28"/>
                <w:lang w:val="es-US"/>
              </w:rPr>
              <w:t>(Esta no es una lista exhaustiva.</w:t>
            </w:r>
            <w:r>
              <w:rPr>
                <w:rFonts w:ascii="Garamond" w:hAnsi="Garamond" w:cs="Arial"/>
                <w:sz w:val="24"/>
                <w:szCs w:val="28"/>
                <w:lang w:val="es-US"/>
              </w:rPr>
              <w:t xml:space="preserve"> </w:t>
            </w:r>
            <w:r>
              <w:rPr>
                <w:rFonts w:ascii="Garamond" w:hAnsi="Garamond" w:cs="Arial"/>
                <w:b/>
                <w:bCs/>
                <w:sz w:val="24"/>
                <w:szCs w:val="28"/>
                <w:lang w:val="es-US"/>
              </w:rPr>
              <w:t>Consulte su póliza o documento del plan para ver otros servicios excluidos).</w:t>
            </w:r>
          </w:p>
        </w:tc>
      </w:tr>
      <w:tr w:rsidR="00F40B1F" w:rsidRPr="00071588" w:rsidTr="00F40B1F">
        <w:tc>
          <w:tcPr>
            <w:tcW w:w="11680" w:type="dxa"/>
          </w:tcPr>
          <w:p w:rsidR="00F40B1F" w:rsidRPr="00071588" w:rsidRDefault="00F40B1F" w:rsidP="00F40B1F">
            <w:pPr>
              <w:pStyle w:val="ListParagraph"/>
              <w:numPr>
                <w:ilvl w:val="0"/>
                <w:numId w:val="2"/>
              </w:numPr>
              <w:rPr>
                <w:rFonts w:ascii="Garamond" w:hAnsi="Garamond" w:cs="Arial"/>
                <w:color w:val="00A4DE"/>
                <w:sz w:val="28"/>
                <w:szCs w:val="28"/>
              </w:rPr>
            </w:pPr>
            <w:r>
              <w:rPr>
                <w:rFonts w:ascii="Garamond" w:hAnsi="Garamond" w:cs="Arial"/>
                <w:sz w:val="24"/>
                <w:szCs w:val="28"/>
                <w:lang w:val="es-US"/>
              </w:rPr>
              <w:t>Cuidado dental para adultos</w:t>
            </w:r>
          </w:p>
        </w:tc>
      </w:tr>
    </w:tbl>
    <w:p w:rsidR="00F40B1F" w:rsidRPr="00071588" w:rsidRDefault="00F40B1F" w:rsidP="00F40B1F">
      <w:pPr>
        <w:spacing w:after="0" w:line="240" w:lineRule="auto"/>
        <w:rPr>
          <w:rFonts w:ascii="Arial" w:hAnsi="Arial" w:cs="Arial"/>
          <w:b/>
          <w:color w:val="00A4DE"/>
          <w:sz w:val="28"/>
          <w:szCs w:val="28"/>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80"/>
      </w:tblGrid>
      <w:tr w:rsidR="00F40B1F" w:rsidRPr="000170C2" w:rsidTr="00730067">
        <w:tc>
          <w:tcPr>
            <w:tcW w:w="11680" w:type="dxa"/>
            <w:shd w:val="clear" w:color="auto" w:fill="00A4DE"/>
          </w:tcPr>
          <w:p w:rsidR="00F40B1F" w:rsidRPr="000170C2" w:rsidRDefault="00F40B1F" w:rsidP="000824A0">
            <w:pPr>
              <w:rPr>
                <w:rFonts w:ascii="Arial" w:hAnsi="Arial" w:cs="Arial"/>
                <w:b/>
                <w:color w:val="00A4DE"/>
                <w:sz w:val="28"/>
                <w:szCs w:val="28"/>
                <w:lang w:val="es-US"/>
              </w:rPr>
            </w:pPr>
            <w:r>
              <w:rPr>
                <w:rFonts w:ascii="Arial" w:hAnsi="Arial" w:cs="Arial"/>
                <w:b/>
                <w:bCs/>
                <w:sz w:val="24"/>
                <w:szCs w:val="28"/>
                <w:lang w:val="es-US"/>
              </w:rPr>
              <w:t xml:space="preserve">Otros servicios cubiertos </w:t>
            </w:r>
            <w:r>
              <w:rPr>
                <w:rFonts w:ascii="Garamond" w:hAnsi="Garamond" w:cs="Arial"/>
                <w:b/>
                <w:bCs/>
                <w:sz w:val="24"/>
                <w:szCs w:val="28"/>
                <w:lang w:val="es-US"/>
              </w:rPr>
              <w:t>(Esta no es una lista exhaustiva.</w:t>
            </w:r>
            <w:r>
              <w:rPr>
                <w:rFonts w:ascii="Garamond" w:hAnsi="Garamond" w:cs="Arial"/>
                <w:sz w:val="24"/>
                <w:szCs w:val="28"/>
                <w:lang w:val="es-US"/>
              </w:rPr>
              <w:t xml:space="preserve"> </w:t>
            </w:r>
            <w:r>
              <w:rPr>
                <w:rFonts w:ascii="Garamond" w:hAnsi="Garamond" w:cs="Arial"/>
                <w:b/>
                <w:bCs/>
                <w:sz w:val="24"/>
                <w:szCs w:val="28"/>
                <w:lang w:val="es-US"/>
              </w:rPr>
              <w:t>Consulte su póliza o documento del plan para ver otros servicios cubiertos).</w:t>
            </w:r>
          </w:p>
        </w:tc>
      </w:tr>
      <w:tr w:rsidR="00F40B1F" w:rsidRPr="000170C2" w:rsidTr="00730067">
        <w:tc>
          <w:tcPr>
            <w:tcW w:w="11680" w:type="dxa"/>
          </w:tcPr>
          <w:p w:rsidR="00F40B1F" w:rsidRPr="000170C2" w:rsidRDefault="00F40B1F" w:rsidP="00730067">
            <w:pPr>
              <w:pStyle w:val="ListParagraph"/>
              <w:numPr>
                <w:ilvl w:val="0"/>
                <w:numId w:val="2"/>
              </w:numPr>
              <w:rPr>
                <w:rFonts w:ascii="Garamond" w:hAnsi="Garamond" w:cs="Arial"/>
                <w:color w:val="00A4DE"/>
                <w:sz w:val="28"/>
                <w:szCs w:val="28"/>
                <w:lang w:val="es-US"/>
              </w:rPr>
            </w:pPr>
          </w:p>
        </w:tc>
      </w:tr>
    </w:tbl>
    <w:p w:rsidR="00F40B1F" w:rsidRPr="000170C2" w:rsidRDefault="00F40B1F" w:rsidP="00F40B1F">
      <w:pPr>
        <w:spacing w:after="0" w:line="240" w:lineRule="auto"/>
        <w:rPr>
          <w:rFonts w:ascii="Arial" w:hAnsi="Arial" w:cs="Arial"/>
          <w:b/>
          <w:color w:val="00A4DE"/>
          <w:sz w:val="28"/>
          <w:szCs w:val="28"/>
          <w:lang w:val="es-US"/>
        </w:rPr>
      </w:pPr>
    </w:p>
    <w:p w:rsidR="00F40B1F" w:rsidRPr="000170C2" w:rsidRDefault="00F40B1F" w:rsidP="00F40B1F">
      <w:pPr>
        <w:spacing w:after="0" w:line="240" w:lineRule="auto"/>
        <w:rPr>
          <w:rFonts w:ascii="Arial" w:hAnsi="Arial" w:cs="Arial"/>
          <w:b/>
          <w:color w:val="00A4DE"/>
          <w:sz w:val="28"/>
          <w:szCs w:val="28"/>
          <w:lang w:val="es-US"/>
        </w:rPr>
      </w:pPr>
      <w:r>
        <w:rPr>
          <w:rFonts w:ascii="Arial" w:hAnsi="Arial" w:cs="Arial"/>
          <w:b/>
          <w:bCs/>
          <w:color w:val="00A4DE"/>
          <w:sz w:val="28"/>
          <w:szCs w:val="28"/>
          <w:lang w:val="es-US"/>
        </w:rPr>
        <w:t>Derecho a quejas y apelaciones</w:t>
      </w:r>
    </w:p>
    <w:p w:rsidR="00F40B1F" w:rsidRPr="000170C2" w:rsidRDefault="00F40B1F" w:rsidP="00F40B1F">
      <w:pPr>
        <w:spacing w:before="22" w:after="0" w:line="256" w:lineRule="auto"/>
        <w:ind w:left="20" w:right="-40"/>
        <w:rPr>
          <w:rFonts w:ascii="Garamond" w:eastAsia="Garamond" w:hAnsi="Garamond" w:cs="Garamond"/>
          <w:sz w:val="24"/>
          <w:szCs w:val="24"/>
          <w:lang w:val="es-US"/>
        </w:rPr>
      </w:pPr>
      <w:r>
        <w:rPr>
          <w:rFonts w:ascii="Garamond" w:eastAsia="Garamond" w:hAnsi="Garamond" w:cs="Garamond"/>
          <w:color w:val="231F20"/>
          <w:sz w:val="24"/>
          <w:szCs w:val="24"/>
          <w:lang w:val="es-US"/>
        </w:rPr>
        <w:t xml:space="preserve">Si tiene una queja o está insatisfecho con una denegación de cobertura por reclamos a su plan, es posible que pueda apelar o presentar una queja. Si tiene preguntas sobre sus derechos, sobre esta notificación, o para recibir ayuda, puede ponerse en contacto con: </w:t>
      </w:r>
      <w:r>
        <w:rPr>
          <w:rFonts w:ascii="Garamond" w:eastAsia="Garamond" w:hAnsi="Garamond" w:cs="Garamond"/>
          <w:b/>
          <w:bCs/>
          <w:color w:val="231F20"/>
          <w:sz w:val="24"/>
          <w:szCs w:val="24"/>
          <w:lang w:val="es-US"/>
        </w:rPr>
        <w:t>[insertar información de contacto aplicable].</w:t>
      </w:r>
    </w:p>
    <w:p w:rsidR="00F40B1F" w:rsidRPr="000170C2" w:rsidRDefault="00F40B1F" w:rsidP="00F40B1F">
      <w:pPr>
        <w:spacing w:before="22" w:after="0" w:line="256" w:lineRule="auto"/>
        <w:ind w:left="20" w:right="-40"/>
        <w:rPr>
          <w:rFonts w:ascii="Garamond" w:eastAsia="Garamond" w:hAnsi="Garamond" w:cs="Garamond"/>
          <w:sz w:val="24"/>
          <w:szCs w:val="24"/>
          <w:lang w:val="es-US"/>
        </w:rPr>
      </w:pPr>
    </w:p>
    <w:p w:rsidR="00F40B1F" w:rsidRPr="000170C2" w:rsidRDefault="00F40B1F" w:rsidP="00F40B1F">
      <w:pPr>
        <w:spacing w:after="0" w:line="240" w:lineRule="auto"/>
        <w:rPr>
          <w:rFonts w:ascii="Arial" w:hAnsi="Arial" w:cs="Arial"/>
          <w:b/>
          <w:color w:val="00A4DE"/>
          <w:sz w:val="28"/>
          <w:szCs w:val="28"/>
          <w:lang w:val="es-US"/>
        </w:rPr>
      </w:pPr>
      <w:r>
        <w:rPr>
          <w:rFonts w:ascii="Arial" w:hAnsi="Arial" w:cs="Arial"/>
          <w:b/>
          <w:bCs/>
          <w:color w:val="00A4DE"/>
          <w:sz w:val="28"/>
          <w:szCs w:val="28"/>
          <w:lang w:val="es-US"/>
        </w:rPr>
        <w:t>¿Esta cobertura proporciona una cobertura mínima esencial?</w:t>
      </w:r>
    </w:p>
    <w:p w:rsidR="00F40B1F" w:rsidRPr="000170C2" w:rsidRDefault="00F40B1F" w:rsidP="00F40B1F">
      <w:pPr>
        <w:rPr>
          <w:rFonts w:ascii="Garamond" w:hAnsi="Garamond"/>
          <w:lang w:val="es-US"/>
        </w:rPr>
      </w:pPr>
      <w:r>
        <w:rPr>
          <w:rFonts w:ascii="Garamond" w:eastAsia="Garamond" w:hAnsi="Garamond" w:cs="Garamond"/>
          <w:color w:val="231F20"/>
          <w:sz w:val="24"/>
          <w:szCs w:val="24"/>
          <w:lang w:val="es-US"/>
        </w:rPr>
        <w:t>Este plan o póliza satisface los requisitos de valor mínimo y beneficios de la Ley de Cuidado Asequible para el beneficio de salud esencial de cuidado dental pediátrico.</w:t>
      </w:r>
    </w:p>
    <w:p w:rsidR="00604ACE" w:rsidRPr="000170C2" w:rsidRDefault="00604ACE" w:rsidP="00F40B1F">
      <w:pPr>
        <w:rPr>
          <w:rFonts w:ascii="Arial" w:hAnsi="Arial" w:cs="Arial"/>
          <w:sz w:val="28"/>
          <w:szCs w:val="28"/>
          <w:lang w:val="es-US"/>
        </w:rPr>
      </w:pPr>
    </w:p>
    <w:p w:rsidR="00604ACE" w:rsidRPr="000170C2" w:rsidRDefault="00604ACE" w:rsidP="00604ACE">
      <w:pPr>
        <w:rPr>
          <w:rFonts w:ascii="Arial" w:hAnsi="Arial" w:cs="Arial"/>
          <w:sz w:val="28"/>
          <w:szCs w:val="28"/>
          <w:lang w:val="es-US"/>
        </w:rPr>
      </w:pPr>
    </w:p>
    <w:p w:rsidR="00604ACE" w:rsidRPr="000170C2" w:rsidRDefault="00604ACE" w:rsidP="00604ACE">
      <w:pPr>
        <w:rPr>
          <w:rFonts w:ascii="Arial" w:hAnsi="Arial" w:cs="Arial"/>
          <w:sz w:val="28"/>
          <w:szCs w:val="28"/>
          <w:lang w:val="es-US"/>
        </w:rPr>
      </w:pPr>
    </w:p>
    <w:p w:rsidR="00604ACE" w:rsidRPr="000170C2" w:rsidRDefault="00604ACE" w:rsidP="00604ACE">
      <w:pPr>
        <w:rPr>
          <w:rFonts w:ascii="Arial" w:hAnsi="Arial" w:cs="Arial"/>
          <w:sz w:val="28"/>
          <w:szCs w:val="28"/>
          <w:lang w:val="es-US"/>
        </w:rPr>
      </w:pPr>
    </w:p>
    <w:p w:rsidR="00604ACE" w:rsidRPr="000170C2" w:rsidRDefault="00604ACE" w:rsidP="00604ACE">
      <w:pPr>
        <w:rPr>
          <w:rFonts w:ascii="Arial" w:hAnsi="Arial" w:cs="Arial"/>
          <w:sz w:val="28"/>
          <w:szCs w:val="28"/>
          <w:lang w:val="es-US"/>
        </w:rPr>
      </w:pPr>
    </w:p>
    <w:p w:rsidR="00604ACE" w:rsidRPr="000170C2" w:rsidRDefault="00604ACE" w:rsidP="00604ACE">
      <w:pPr>
        <w:rPr>
          <w:rFonts w:ascii="Arial" w:hAnsi="Arial" w:cs="Arial"/>
          <w:sz w:val="28"/>
          <w:szCs w:val="28"/>
          <w:lang w:val="es-US"/>
        </w:rPr>
      </w:pPr>
    </w:p>
    <w:p w:rsidR="00604ACE" w:rsidRPr="000170C2" w:rsidRDefault="00604ACE" w:rsidP="00604ACE">
      <w:pPr>
        <w:tabs>
          <w:tab w:val="left" w:pos="3480"/>
        </w:tabs>
        <w:rPr>
          <w:rFonts w:ascii="Arial" w:hAnsi="Arial" w:cs="Arial"/>
          <w:sz w:val="28"/>
          <w:szCs w:val="28"/>
          <w:lang w:val="es-US"/>
        </w:rPr>
      </w:pPr>
      <w:r>
        <w:rPr>
          <w:lang w:val="es-US"/>
        </w:rPr>
        <w:tab/>
      </w:r>
    </w:p>
    <w:p w:rsidR="006B3408" w:rsidRPr="000170C2" w:rsidRDefault="00604ACE" w:rsidP="00720D19">
      <w:pPr>
        <w:tabs>
          <w:tab w:val="left" w:pos="3480"/>
        </w:tabs>
        <w:rPr>
          <w:sz w:val="0"/>
          <w:szCs w:val="0"/>
          <w:lang w:val="es-US"/>
        </w:rPr>
      </w:pPr>
      <w:r>
        <w:rPr>
          <w:lang w:val="es-US"/>
        </w:rPr>
        <w:tab/>
      </w:r>
      <w:r w:rsidR="00684A16">
        <w:rPr>
          <w:noProof/>
        </w:rPr>
        <mc:AlternateContent>
          <mc:Choice Requires="wps">
            <w:drawing>
              <wp:anchor distT="0" distB="0" distL="114300" distR="114300" simplePos="0" relativeHeight="251724288" behindDoc="1" locked="0" layoutInCell="1" allowOverlap="1">
                <wp:simplePos x="0" y="0"/>
                <wp:positionH relativeFrom="page">
                  <wp:posOffset>3054350</wp:posOffset>
                </wp:positionH>
                <wp:positionV relativeFrom="page">
                  <wp:posOffset>1477645</wp:posOffset>
                </wp:positionV>
                <wp:extent cx="78740" cy="177800"/>
                <wp:effectExtent l="0" t="0" r="1651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7800"/>
                        </a:xfrm>
                        <a:prstGeom prst="rect">
                          <a:avLst/>
                        </a:prstGeom>
                        <a:noFill/>
                        <a:ln>
                          <a:noFill/>
                        </a:ln>
                        <a:extLst>
                          <a:ext uri="{909E8E84-426E-40dd-AFC4-6F175D3DCCD1}"/>
                          <a:ext uri="{91240B29-F687-4f45-9708-019B960494DF}"/>
                        </a:extLst>
                      </wps:spPr>
                      <wps:txbx>
                        <w:txbxContent>
                          <w:p w:rsidR="006375E8" w:rsidRDefault="006375E8">
                            <w:pPr>
                              <w:spacing w:after="0" w:line="267" w:lineRule="exact"/>
                              <w:ind w:left="20" w:right="-56"/>
                              <w:rPr>
                                <w:rFonts w:ascii="Garamond" w:eastAsia="Garamond" w:hAnsi="Garamond" w:cs="Garamond"/>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40.5pt;margin-top:116.35pt;width:6.2pt;height:14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" filled="f" stroked="f">
                <v:textbox inset="0,0,0,0">
                  <w:txbxContent>
                    <w:p w:rsidR="006375E8" w:rsidRDefault="006375E8">
                      <w:pPr>
                        <w:spacing w:after="0" w:line="267" w:lineRule="exact"/>
                        <w:ind w:left="20" w:right="-56"/>
                        <w:rPr>
                          <w:rFonts w:ascii="Garamond" w:eastAsia="Garamond" w:hAnsi="Garamond" w:cs="Garamond"/>
                          <w:sz w:val="24"/>
                          <w:szCs w:val="24"/>
                        </w:rPr>
                      </w:pPr>
                    </w:p>
                  </w:txbxContent>
                </v:textbox>
                <w10:wrap anchorx="page" anchory="page"/>
              </v:shape>
            </w:pict>
          </mc:Fallback>
        </mc:AlternateContent>
      </w:r>
    </w:p>
    <w:p w:rsidR="003C3FFA" w:rsidRPr="000170C2" w:rsidRDefault="003C3FFA" w:rsidP="006B3408">
      <w:pPr>
        <w:tabs>
          <w:tab w:val="left" w:pos="2775"/>
        </w:tabs>
        <w:rPr>
          <w:sz w:val="0"/>
          <w:szCs w:val="0"/>
          <w:lang w:val="es-US"/>
        </w:rPr>
      </w:pPr>
    </w:p>
    <w:sectPr w:rsidR="003C3FFA" w:rsidRPr="000170C2" w:rsidSect="00770B5C">
      <w:headerReference w:type="even" r:id="rId10"/>
      <w:headerReference w:type="default" r:id="rId11"/>
      <w:footerReference w:type="even" r:id="rId12"/>
      <w:footerReference w:type="default" r:id="rId13"/>
      <w:headerReference w:type="first" r:id="rId14"/>
      <w:footerReference w:type="first" r:id="rId15"/>
      <w:pgSz w:w="12240" w:h="15840"/>
      <w:pgMar w:top="1340" w:right="280" w:bottom="280" w:left="2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A8" w:rsidRDefault="004755A8" w:rsidP="00AD042C">
      <w:pPr>
        <w:spacing w:after="0" w:line="240" w:lineRule="auto"/>
      </w:pPr>
      <w:r>
        <w:separator/>
      </w:r>
    </w:p>
  </w:endnote>
  <w:endnote w:type="continuationSeparator" w:id="0">
    <w:p w:rsidR="004755A8" w:rsidRDefault="004755A8" w:rsidP="00AD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B2" w:rsidRDefault="003B4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5C" w:rsidRPr="000170C2" w:rsidRDefault="00770B5C" w:rsidP="00770B5C">
    <w:pPr>
      <w:spacing w:after="0" w:line="224" w:lineRule="exact"/>
      <w:ind w:left="20" w:right="-50"/>
      <w:rPr>
        <w:rFonts w:ascii="Arial" w:eastAsia="Arial" w:hAnsi="Arial" w:cs="Arial"/>
        <w:sz w:val="19"/>
        <w:szCs w:val="19"/>
        <w:lang w:val="es-US"/>
      </w:rPr>
    </w:pPr>
    <w:r w:rsidRPr="000170C2">
      <w:rPr>
        <w:rFonts w:ascii="Arial" w:eastAsia="Arial" w:hAnsi="Arial" w:cs="Arial"/>
        <w:color w:val="231F20"/>
        <w:sz w:val="19"/>
        <w:szCs w:val="19"/>
        <w:lang w:val="es-US"/>
      </w:rPr>
      <w:t xml:space="preserve">Preguntas: Llame al </w:t>
    </w:r>
    <w:r w:rsidRPr="000170C2">
      <w:rPr>
        <w:rFonts w:ascii="Arial" w:eastAsia="Arial" w:hAnsi="Arial" w:cs="Arial"/>
        <w:b/>
        <w:bCs/>
        <w:color w:val="231F20"/>
        <w:sz w:val="19"/>
        <w:szCs w:val="19"/>
        <w:lang w:val="es-US"/>
      </w:rPr>
      <w:t xml:space="preserve">1-800-[insertar] </w:t>
    </w:r>
    <w:r w:rsidRPr="000170C2">
      <w:rPr>
        <w:rFonts w:ascii="Arial" w:eastAsia="Arial" w:hAnsi="Arial" w:cs="Arial"/>
        <w:color w:val="231F20"/>
        <w:sz w:val="19"/>
        <w:szCs w:val="19"/>
        <w:lang w:val="es-US"/>
      </w:rPr>
      <w:t xml:space="preserve">o visítenos en </w:t>
    </w:r>
    <w:hyperlink r:id="rId1">
      <w:r w:rsidRPr="000170C2">
        <w:rPr>
          <w:rFonts w:ascii="Arial" w:eastAsia="Arial" w:hAnsi="Arial" w:cs="Arial"/>
          <w:color w:val="00AEEF"/>
          <w:sz w:val="19"/>
          <w:szCs w:val="19"/>
          <w:u w:val="single"/>
          <w:lang w:val="es-US"/>
        </w:rPr>
        <w:t>www.[insertar]</w:t>
      </w:r>
    </w:hyperlink>
    <w:r w:rsidRPr="000170C2">
      <w:rPr>
        <w:rFonts w:ascii="Arial" w:eastAsia="Arial" w:hAnsi="Arial" w:cs="Arial"/>
        <w:color w:val="231F20"/>
        <w:sz w:val="19"/>
        <w:szCs w:val="19"/>
        <w:lang w:val="es-US"/>
      </w:rPr>
      <w:t>. Si no tiene claro lo que significa alguno de los términos subrayados en este formulario, consulte</w:t>
    </w:r>
    <w:r w:rsidRPr="000170C2">
      <w:rPr>
        <w:rFonts w:ascii="Arial" w:eastAsia="Arial" w:hAnsi="Arial" w:cs="Arial"/>
        <w:sz w:val="19"/>
        <w:szCs w:val="19"/>
        <w:lang w:val="es-US"/>
      </w:rPr>
      <w:t xml:space="preserve"> </w:t>
    </w:r>
    <w:r w:rsidRPr="000170C2">
      <w:rPr>
        <w:rFonts w:ascii="Arial" w:eastAsia="Arial" w:hAnsi="Arial" w:cs="Arial"/>
        <w:color w:val="231F20"/>
        <w:sz w:val="19"/>
        <w:szCs w:val="19"/>
        <w:lang w:val="es-US"/>
      </w:rPr>
      <w:t xml:space="preserve">el glosario. Puede ver el glosario en </w:t>
    </w:r>
    <w:hyperlink r:id="rId2">
      <w:r w:rsidRPr="000170C2">
        <w:rPr>
          <w:rFonts w:ascii="Arial" w:eastAsia="Arial" w:hAnsi="Arial" w:cs="Arial"/>
          <w:color w:val="00AEEF"/>
          <w:sz w:val="19"/>
          <w:szCs w:val="19"/>
          <w:u w:val="single"/>
          <w:lang w:val="es-US"/>
        </w:rPr>
        <w:t>www.[insertar]</w:t>
      </w:r>
      <w:r w:rsidRPr="000170C2">
        <w:rPr>
          <w:rFonts w:ascii="Arial" w:eastAsia="Arial" w:hAnsi="Arial" w:cs="Arial"/>
          <w:color w:val="00AEEF"/>
          <w:sz w:val="19"/>
          <w:szCs w:val="19"/>
          <w:lang w:val="es-US"/>
        </w:rPr>
        <w:t xml:space="preserve"> </w:t>
      </w:r>
    </w:hyperlink>
    <w:r w:rsidRPr="000170C2">
      <w:rPr>
        <w:rFonts w:ascii="Arial" w:eastAsia="Arial" w:hAnsi="Arial" w:cs="Arial"/>
        <w:color w:val="231F20"/>
        <w:sz w:val="19"/>
        <w:szCs w:val="19"/>
        <w:lang w:val="es-US"/>
      </w:rPr>
      <w:t>o llame al</w:t>
    </w:r>
    <w:r w:rsidRPr="000170C2">
      <w:rPr>
        <w:rFonts w:ascii="Arial" w:eastAsia="Arial" w:hAnsi="Arial" w:cs="Arial"/>
        <w:b/>
        <w:bCs/>
        <w:color w:val="231F20"/>
        <w:sz w:val="19"/>
        <w:szCs w:val="19"/>
        <w:lang w:val="es-US"/>
      </w:rPr>
      <w:t xml:space="preserve">1-800-[insertar] </w:t>
    </w:r>
    <w:r w:rsidRPr="000170C2">
      <w:rPr>
        <w:rFonts w:ascii="Arial" w:eastAsia="Arial" w:hAnsi="Arial" w:cs="Arial"/>
        <w:color w:val="231F20"/>
        <w:sz w:val="19"/>
        <w:szCs w:val="19"/>
        <w:lang w:val="es-US"/>
      </w:rPr>
      <w:t>para solicitar una copia.</w:t>
    </w:r>
  </w:p>
  <w:p w:rsidR="00770B5C" w:rsidRPr="000170C2" w:rsidRDefault="00770B5C">
    <w:pPr>
      <w:pStyle w:val="Footer"/>
      <w:rPr>
        <w:lang w:val="es-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B2" w:rsidRDefault="003B4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A8" w:rsidRDefault="004755A8" w:rsidP="00AD042C">
      <w:pPr>
        <w:spacing w:after="0" w:line="240" w:lineRule="auto"/>
      </w:pPr>
      <w:r>
        <w:separator/>
      </w:r>
    </w:p>
  </w:footnote>
  <w:footnote w:type="continuationSeparator" w:id="0">
    <w:p w:rsidR="004755A8" w:rsidRDefault="004755A8" w:rsidP="00AD0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B2" w:rsidRDefault="003B4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22" w:rsidRPr="000170C2" w:rsidRDefault="00182385" w:rsidP="00FF2822">
    <w:pPr>
      <w:spacing w:after="0" w:line="224" w:lineRule="exact"/>
      <w:ind w:right="-50"/>
      <w:rPr>
        <w:rFonts w:ascii="Arial" w:eastAsia="Arial" w:hAnsi="Arial" w:cs="Arial"/>
        <w:sz w:val="20"/>
        <w:szCs w:val="20"/>
        <w:lang w:val="es-US"/>
      </w:rPr>
    </w:pPr>
    <w:r>
      <w:rPr>
        <w:rFonts w:ascii="Arial" w:eastAsia="Arial" w:hAnsi="Arial" w:cs="Arial"/>
        <w:b/>
        <w:bCs/>
        <w:color w:val="00AEEF"/>
        <w:sz w:val="20"/>
        <w:szCs w:val="20"/>
        <w:lang w:val="es-US"/>
      </w:rPr>
      <w:t xml:space="preserve">    Compañía de seguros 1: Opción</w:t>
    </w:r>
    <w:r w:rsidR="000170C2">
      <w:rPr>
        <w:rFonts w:ascii="Arial" w:eastAsia="Arial" w:hAnsi="Arial" w:cs="Arial"/>
        <w:b/>
        <w:bCs/>
        <w:color w:val="00AEEF"/>
        <w:sz w:val="20"/>
        <w:szCs w:val="20"/>
        <w:lang w:val="es-US"/>
      </w:rPr>
      <w:t xml:space="preserve"> de plan 1      </w:t>
    </w:r>
    <w:r>
      <w:rPr>
        <w:rFonts w:ascii="Arial" w:eastAsia="Arial" w:hAnsi="Arial" w:cs="Arial"/>
        <w:b/>
        <w:bCs/>
        <w:color w:val="00AEEF"/>
        <w:sz w:val="20"/>
        <w:szCs w:val="20"/>
        <w:lang w:val="es-US"/>
      </w:rPr>
      <w:t>Tip</w:t>
    </w:r>
    <w:r w:rsidR="000170C2">
      <w:rPr>
        <w:rFonts w:ascii="Arial" w:eastAsia="Arial" w:hAnsi="Arial" w:cs="Arial"/>
        <w:b/>
        <w:bCs/>
        <w:color w:val="00AEEF"/>
        <w:sz w:val="20"/>
        <w:szCs w:val="20"/>
        <w:lang w:val="es-US"/>
      </w:rPr>
      <w:t xml:space="preserve">o de plan: [PPO/HMO/EPO]   </w:t>
    </w:r>
    <w:r>
      <w:rPr>
        <w:rFonts w:ascii="Arial" w:eastAsia="Arial" w:hAnsi="Arial" w:cs="Arial"/>
        <w:b/>
        <w:bCs/>
        <w:color w:val="00AEEF"/>
        <w:sz w:val="20"/>
        <w:szCs w:val="20"/>
        <w:lang w:val="es-US"/>
      </w:rPr>
      <w:t>Período de cobertura: 1/1/2017 – 31/12/2017</w:t>
    </w:r>
  </w:p>
  <w:p w:rsidR="00FF2822" w:rsidRPr="000170C2" w:rsidRDefault="00422210" w:rsidP="00422210">
    <w:pPr>
      <w:spacing w:after="0" w:line="204" w:lineRule="exact"/>
      <w:ind w:left="20" w:right="-47"/>
      <w:rPr>
        <w:rFonts w:ascii="Arial" w:eastAsia="Arial" w:hAnsi="Arial" w:cs="Arial"/>
        <w:sz w:val="18"/>
        <w:szCs w:val="18"/>
        <w:lang w:val="es-US"/>
      </w:rPr>
    </w:pPr>
    <w:r>
      <w:rPr>
        <w:rFonts w:ascii="Arial" w:eastAsia="Arial" w:hAnsi="Arial" w:cs="Arial"/>
        <w:color w:val="231F20"/>
        <w:sz w:val="18"/>
        <w:szCs w:val="18"/>
        <w:lang w:val="es-US"/>
      </w:rPr>
      <w:t xml:space="preserve">   </w:t>
    </w:r>
    <w:r>
      <w:rPr>
        <w:rFonts w:ascii="Arial" w:eastAsia="Arial" w:hAnsi="Arial" w:cs="Arial"/>
        <w:b/>
        <w:bCs/>
        <w:color w:val="231F20"/>
        <w:sz w:val="18"/>
        <w:szCs w:val="18"/>
        <w:lang w:val="es-US"/>
      </w:rPr>
      <w:t>Resumen de beneficios para cobertura dental:</w:t>
    </w:r>
    <w:r>
      <w:rPr>
        <w:rFonts w:ascii="Arial" w:eastAsia="Arial" w:hAnsi="Arial" w:cs="Arial"/>
        <w:color w:val="231F20"/>
        <w:sz w:val="18"/>
        <w:szCs w:val="18"/>
        <w:lang w:val="es-US"/>
      </w:rPr>
      <w:t xml:space="preserve"> </w:t>
    </w:r>
    <w:r>
      <w:rPr>
        <w:rFonts w:ascii="Arial" w:eastAsia="Arial" w:hAnsi="Arial" w:cs="Arial"/>
        <w:b/>
        <w:bCs/>
        <w:color w:val="231F20"/>
        <w:sz w:val="18"/>
        <w:szCs w:val="18"/>
        <w:lang w:val="es-US"/>
      </w:rPr>
      <w:t>Lo que cubre el p</w:t>
    </w:r>
    <w:r w:rsidR="000170C2">
      <w:rPr>
        <w:rFonts w:ascii="Arial" w:eastAsia="Arial" w:hAnsi="Arial" w:cs="Arial"/>
        <w:b/>
        <w:bCs/>
        <w:color w:val="231F20"/>
        <w:sz w:val="18"/>
        <w:szCs w:val="18"/>
        <w:lang w:val="es-US"/>
      </w:rPr>
      <w:t xml:space="preserve">lan y lo que cuesta            </w:t>
    </w:r>
    <w:r>
      <w:rPr>
        <w:rFonts w:ascii="Arial" w:eastAsia="Arial" w:hAnsi="Arial" w:cs="Arial"/>
        <w:b/>
        <w:bCs/>
        <w:color w:val="0F2652"/>
        <w:sz w:val="18"/>
        <w:szCs w:val="18"/>
        <w:lang w:val="es-US"/>
      </w:rPr>
      <w:t>Cobertura para:</w:t>
    </w:r>
    <w:r>
      <w:rPr>
        <w:rFonts w:ascii="Arial" w:eastAsia="Arial" w:hAnsi="Arial" w:cs="Arial"/>
        <w:color w:val="0F2652"/>
        <w:sz w:val="18"/>
        <w:szCs w:val="18"/>
        <w:lang w:val="es-US"/>
      </w:rPr>
      <w:t xml:space="preserve"> Niños de 0 a 18 años de edad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B2" w:rsidRDefault="003B4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1E3E"/>
    <w:multiLevelType w:val="hybridMultilevel"/>
    <w:tmpl w:val="37B2EFD6"/>
    <w:lvl w:ilvl="0" w:tplc="893C51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21416"/>
    <w:multiLevelType w:val="hybridMultilevel"/>
    <w:tmpl w:val="795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FA"/>
    <w:rsid w:val="00007B96"/>
    <w:rsid w:val="000170C2"/>
    <w:rsid w:val="00042C51"/>
    <w:rsid w:val="00051943"/>
    <w:rsid w:val="00071588"/>
    <w:rsid w:val="000824A0"/>
    <w:rsid w:val="000C23BA"/>
    <w:rsid w:val="000D2CD0"/>
    <w:rsid w:val="00182385"/>
    <w:rsid w:val="001C2783"/>
    <w:rsid w:val="00210ACF"/>
    <w:rsid w:val="0024434D"/>
    <w:rsid w:val="002463A1"/>
    <w:rsid w:val="002D3D19"/>
    <w:rsid w:val="003B4EB2"/>
    <w:rsid w:val="003C3FFA"/>
    <w:rsid w:val="003C40F3"/>
    <w:rsid w:val="003D7034"/>
    <w:rsid w:val="0040228D"/>
    <w:rsid w:val="00422210"/>
    <w:rsid w:val="00471ADC"/>
    <w:rsid w:val="004755A8"/>
    <w:rsid w:val="004C7ECA"/>
    <w:rsid w:val="00521693"/>
    <w:rsid w:val="00596204"/>
    <w:rsid w:val="005D7A07"/>
    <w:rsid w:val="00604ACE"/>
    <w:rsid w:val="006375E8"/>
    <w:rsid w:val="00643089"/>
    <w:rsid w:val="00684A16"/>
    <w:rsid w:val="006B3408"/>
    <w:rsid w:val="006D4AC4"/>
    <w:rsid w:val="00703F69"/>
    <w:rsid w:val="00720D19"/>
    <w:rsid w:val="0074313C"/>
    <w:rsid w:val="00770B5C"/>
    <w:rsid w:val="007D4C8A"/>
    <w:rsid w:val="00831F97"/>
    <w:rsid w:val="008420B4"/>
    <w:rsid w:val="008E001E"/>
    <w:rsid w:val="00923EA4"/>
    <w:rsid w:val="00931504"/>
    <w:rsid w:val="009A419B"/>
    <w:rsid w:val="00A3691B"/>
    <w:rsid w:val="00A42B18"/>
    <w:rsid w:val="00AD042C"/>
    <w:rsid w:val="00AE7D0A"/>
    <w:rsid w:val="00B05214"/>
    <w:rsid w:val="00B33017"/>
    <w:rsid w:val="00B472FB"/>
    <w:rsid w:val="00B56239"/>
    <w:rsid w:val="00B57ADE"/>
    <w:rsid w:val="00BB4D2E"/>
    <w:rsid w:val="00BB5C2E"/>
    <w:rsid w:val="00BD5618"/>
    <w:rsid w:val="00BF4E99"/>
    <w:rsid w:val="00C04D82"/>
    <w:rsid w:val="00C610CA"/>
    <w:rsid w:val="00CD0311"/>
    <w:rsid w:val="00D92255"/>
    <w:rsid w:val="00F40B1F"/>
    <w:rsid w:val="00F83CC7"/>
    <w:rsid w:val="00FC0FB9"/>
    <w:rsid w:val="00FF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93"/>
    <w:rPr>
      <w:rFonts w:ascii="Segoe UI" w:hAnsi="Segoe UI" w:cs="Segoe UI"/>
      <w:sz w:val="18"/>
      <w:szCs w:val="18"/>
    </w:rPr>
  </w:style>
  <w:style w:type="paragraph" w:styleId="Header">
    <w:name w:val="header"/>
    <w:basedOn w:val="Normal"/>
    <w:link w:val="HeaderChar"/>
    <w:uiPriority w:val="99"/>
    <w:unhideWhenUsed/>
    <w:rsid w:val="00AD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2C"/>
  </w:style>
  <w:style w:type="paragraph" w:styleId="Footer">
    <w:name w:val="footer"/>
    <w:basedOn w:val="Normal"/>
    <w:link w:val="FooterChar"/>
    <w:uiPriority w:val="99"/>
    <w:unhideWhenUsed/>
    <w:rsid w:val="00AD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2C"/>
  </w:style>
  <w:style w:type="paragraph" w:styleId="ListParagraph">
    <w:name w:val="List Paragraph"/>
    <w:basedOn w:val="Normal"/>
    <w:uiPriority w:val="34"/>
    <w:qFormat/>
    <w:rsid w:val="00F4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0650">
      <w:bodyDiv w:val="1"/>
      <w:marLeft w:val="0"/>
      <w:marRight w:val="0"/>
      <w:marTop w:val="0"/>
      <w:marBottom w:val="0"/>
      <w:divBdr>
        <w:top w:val="none" w:sz="0" w:space="0" w:color="auto"/>
        <w:left w:val="none" w:sz="0" w:space="0" w:color="auto"/>
        <w:bottom w:val="none" w:sz="0" w:space="0" w:color="auto"/>
        <w:right w:val="none" w:sz="0" w:space="0" w:color="auto"/>
      </w:divBdr>
    </w:div>
    <w:div w:id="78226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2016-08-26T15:35:00Z</dcterms:created>
  <dcterms:modified xsi:type="dcterms:W3CDTF">2016-08-26T15:35:00Z</dcterms:modified>
</cp:coreProperties>
</file>